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6BD89" w14:textId="4089F3E0" w:rsidR="002911D1" w:rsidRPr="00F86CFA" w:rsidRDefault="00212F17" w:rsidP="00485BD1">
      <w:pPr>
        <w:jc w:val="right"/>
        <w:outlineLvl w:val="0"/>
        <w:rPr>
          <w:sz w:val="22"/>
          <w:szCs w:val="22"/>
        </w:rPr>
      </w:pPr>
      <w:r w:rsidRPr="00F86CFA">
        <w:rPr>
          <w:sz w:val="22"/>
          <w:szCs w:val="22"/>
        </w:rPr>
        <w:t xml:space="preserve">Warszawa, </w:t>
      </w:r>
      <w:r w:rsidR="004B6F54" w:rsidRPr="00F86CFA">
        <w:rPr>
          <w:sz w:val="22"/>
          <w:szCs w:val="22"/>
        </w:rPr>
        <w:t>2</w:t>
      </w:r>
      <w:r w:rsidR="00485BD1" w:rsidRPr="00F86CFA">
        <w:rPr>
          <w:sz w:val="22"/>
          <w:szCs w:val="22"/>
        </w:rPr>
        <w:t>7</w:t>
      </w:r>
      <w:r w:rsidRPr="00F86CFA">
        <w:rPr>
          <w:sz w:val="22"/>
          <w:szCs w:val="22"/>
        </w:rPr>
        <w:t xml:space="preserve"> grudnia 2019 r.</w:t>
      </w:r>
    </w:p>
    <w:p w14:paraId="31B1BA4A" w14:textId="0A447C48" w:rsidR="00212F17" w:rsidRPr="00F86CFA" w:rsidRDefault="00212F17">
      <w:pPr>
        <w:rPr>
          <w:sz w:val="22"/>
          <w:szCs w:val="22"/>
        </w:rPr>
      </w:pPr>
    </w:p>
    <w:p w14:paraId="136E43DC" w14:textId="77777777" w:rsidR="00212F17" w:rsidRPr="00F86CFA" w:rsidRDefault="00212F17" w:rsidP="00212F17">
      <w:pPr>
        <w:ind w:left="4500"/>
        <w:rPr>
          <w:sz w:val="22"/>
          <w:szCs w:val="22"/>
        </w:rPr>
      </w:pPr>
    </w:p>
    <w:p w14:paraId="082DFB35" w14:textId="0647CDBA" w:rsidR="00212F17" w:rsidRPr="00F86CFA" w:rsidRDefault="00212F17" w:rsidP="00212F17">
      <w:pPr>
        <w:ind w:left="4500" w:firstLine="0"/>
        <w:jc w:val="left"/>
        <w:rPr>
          <w:sz w:val="22"/>
          <w:szCs w:val="22"/>
        </w:rPr>
      </w:pPr>
      <w:r w:rsidRPr="00F86CFA">
        <w:rPr>
          <w:b/>
          <w:sz w:val="22"/>
          <w:szCs w:val="22"/>
        </w:rPr>
        <w:t>Sąd Apelacyjny w Warszawie</w:t>
      </w:r>
      <w:r w:rsidRPr="00F86CFA">
        <w:rPr>
          <w:b/>
          <w:sz w:val="22"/>
          <w:szCs w:val="22"/>
        </w:rPr>
        <w:br/>
      </w:r>
      <w:r w:rsidRPr="00F86CFA">
        <w:rPr>
          <w:sz w:val="22"/>
          <w:szCs w:val="22"/>
        </w:rPr>
        <w:t>VI Wydział Cywilny</w:t>
      </w:r>
      <w:r w:rsidRPr="00F86CFA">
        <w:rPr>
          <w:sz w:val="22"/>
          <w:szCs w:val="22"/>
        </w:rPr>
        <w:br/>
        <w:t>pl. Krasińskich 2/4/6</w:t>
      </w:r>
    </w:p>
    <w:p w14:paraId="0BAC0B60" w14:textId="6708F0AD" w:rsidR="00212F17" w:rsidRPr="00F86CFA" w:rsidRDefault="00212F17" w:rsidP="00212F17">
      <w:pPr>
        <w:ind w:left="4500" w:firstLine="0"/>
        <w:jc w:val="left"/>
        <w:rPr>
          <w:bCs/>
          <w:sz w:val="22"/>
          <w:szCs w:val="22"/>
        </w:rPr>
      </w:pPr>
      <w:r w:rsidRPr="00F86CFA">
        <w:rPr>
          <w:bCs/>
          <w:sz w:val="22"/>
          <w:szCs w:val="22"/>
        </w:rPr>
        <w:t>00-207 Warszawa</w:t>
      </w:r>
    </w:p>
    <w:p w14:paraId="5D0618C7" w14:textId="4DF174C4" w:rsidR="00212F17" w:rsidRPr="00F86CFA" w:rsidRDefault="00212F17" w:rsidP="00212F17">
      <w:pPr>
        <w:ind w:left="4500" w:firstLine="0"/>
        <w:jc w:val="left"/>
        <w:rPr>
          <w:bCs/>
          <w:sz w:val="22"/>
          <w:szCs w:val="22"/>
        </w:rPr>
      </w:pPr>
    </w:p>
    <w:p w14:paraId="43196150" w14:textId="1C22EBBF" w:rsidR="00212F17" w:rsidRPr="00F86CFA" w:rsidRDefault="00212F17" w:rsidP="00212F17">
      <w:pPr>
        <w:ind w:left="4500" w:firstLine="0"/>
        <w:jc w:val="left"/>
        <w:rPr>
          <w:bCs/>
          <w:i/>
          <w:sz w:val="22"/>
          <w:szCs w:val="22"/>
        </w:rPr>
      </w:pPr>
      <w:r w:rsidRPr="00F86CFA">
        <w:rPr>
          <w:bCs/>
          <w:i/>
          <w:sz w:val="22"/>
          <w:szCs w:val="22"/>
        </w:rPr>
        <w:t>za pośrednictwem</w:t>
      </w:r>
    </w:p>
    <w:p w14:paraId="02BAB397" w14:textId="77777777" w:rsidR="00212F17" w:rsidRPr="00F86CFA" w:rsidRDefault="00212F17" w:rsidP="00212F17">
      <w:pPr>
        <w:ind w:left="4500" w:firstLine="0"/>
        <w:jc w:val="left"/>
        <w:rPr>
          <w:bCs/>
          <w:i/>
          <w:sz w:val="22"/>
          <w:szCs w:val="22"/>
        </w:rPr>
      </w:pPr>
    </w:p>
    <w:p w14:paraId="1CC6E317" w14:textId="77777777" w:rsidR="00212F17" w:rsidRPr="00F86CFA" w:rsidRDefault="00212F17" w:rsidP="00485BD1">
      <w:pPr>
        <w:ind w:left="4500" w:firstLine="0"/>
        <w:jc w:val="left"/>
        <w:outlineLvl w:val="0"/>
        <w:rPr>
          <w:bCs/>
          <w:sz w:val="22"/>
          <w:szCs w:val="22"/>
        </w:rPr>
      </w:pPr>
      <w:r w:rsidRPr="00F86CFA">
        <w:rPr>
          <w:bCs/>
          <w:sz w:val="22"/>
          <w:szCs w:val="22"/>
        </w:rPr>
        <w:t>Sądu Okręgowego w Warszawie</w:t>
      </w:r>
    </w:p>
    <w:p w14:paraId="1502B76F" w14:textId="77777777" w:rsidR="00212F17" w:rsidRPr="00F86CFA" w:rsidRDefault="00212F17" w:rsidP="00485BD1">
      <w:pPr>
        <w:ind w:left="4500" w:firstLine="0"/>
        <w:jc w:val="left"/>
        <w:outlineLvl w:val="0"/>
        <w:rPr>
          <w:bCs/>
          <w:sz w:val="22"/>
          <w:szCs w:val="22"/>
        </w:rPr>
      </w:pPr>
      <w:r w:rsidRPr="00F86CFA">
        <w:rPr>
          <w:bCs/>
          <w:sz w:val="22"/>
          <w:szCs w:val="22"/>
        </w:rPr>
        <w:t>XXV Wydział Cywilny</w:t>
      </w:r>
    </w:p>
    <w:p w14:paraId="2443DB24" w14:textId="77777777" w:rsidR="00212F17" w:rsidRPr="00F86CFA" w:rsidRDefault="00212F17" w:rsidP="00212F17">
      <w:pPr>
        <w:ind w:left="4500" w:firstLine="0"/>
        <w:jc w:val="left"/>
        <w:rPr>
          <w:bCs/>
          <w:sz w:val="22"/>
          <w:szCs w:val="22"/>
        </w:rPr>
      </w:pPr>
      <w:r w:rsidRPr="00F86CFA">
        <w:rPr>
          <w:bCs/>
          <w:sz w:val="22"/>
          <w:szCs w:val="22"/>
        </w:rPr>
        <w:t>Al. Solidarności 127</w:t>
      </w:r>
    </w:p>
    <w:p w14:paraId="6FA1F426" w14:textId="5A3AC84C" w:rsidR="00212F17" w:rsidRPr="00F86CFA" w:rsidRDefault="00212F17" w:rsidP="00212F17">
      <w:pPr>
        <w:ind w:left="4500" w:firstLine="0"/>
        <w:jc w:val="left"/>
        <w:rPr>
          <w:bCs/>
          <w:sz w:val="22"/>
          <w:szCs w:val="22"/>
        </w:rPr>
      </w:pPr>
      <w:r w:rsidRPr="00F86CFA">
        <w:rPr>
          <w:bCs/>
          <w:sz w:val="22"/>
          <w:szCs w:val="22"/>
        </w:rPr>
        <w:t>00-898 Warszawa</w:t>
      </w:r>
    </w:p>
    <w:p w14:paraId="7B3FB482" w14:textId="4F8859FB" w:rsidR="00212F17" w:rsidRPr="00F86CFA" w:rsidRDefault="00212F17" w:rsidP="00212F17">
      <w:pPr>
        <w:ind w:left="4500" w:firstLine="0"/>
        <w:jc w:val="left"/>
        <w:rPr>
          <w:bCs/>
          <w:sz w:val="22"/>
          <w:szCs w:val="22"/>
        </w:rPr>
      </w:pPr>
    </w:p>
    <w:p w14:paraId="670AE124" w14:textId="78B05B82" w:rsidR="00212F17" w:rsidRPr="00F86CFA" w:rsidRDefault="00212F17" w:rsidP="00212F17">
      <w:pPr>
        <w:ind w:left="4500" w:firstLine="0"/>
        <w:jc w:val="left"/>
        <w:rPr>
          <w:bCs/>
          <w:i/>
          <w:iCs/>
          <w:sz w:val="22"/>
          <w:szCs w:val="22"/>
        </w:rPr>
      </w:pPr>
      <w:r w:rsidRPr="00F86CFA">
        <w:rPr>
          <w:bCs/>
          <w:i/>
          <w:iCs/>
          <w:sz w:val="22"/>
          <w:szCs w:val="22"/>
        </w:rPr>
        <w:t>Powód:</w:t>
      </w:r>
    </w:p>
    <w:p w14:paraId="24AA14D2" w14:textId="668DBF2F" w:rsidR="00E671D4" w:rsidRPr="00F86CFA" w:rsidRDefault="00212F17" w:rsidP="00E671D4">
      <w:pPr>
        <w:ind w:left="4500" w:hanging="1620"/>
        <w:jc w:val="left"/>
        <w:rPr>
          <w:sz w:val="22"/>
          <w:szCs w:val="22"/>
        </w:rPr>
      </w:pPr>
      <w:r w:rsidRPr="00F86CFA">
        <w:rPr>
          <w:sz w:val="22"/>
          <w:szCs w:val="22"/>
        </w:rPr>
        <w:tab/>
      </w:r>
      <w:proofErr w:type="spellStart"/>
      <w:r w:rsidRPr="00F86CFA">
        <w:rPr>
          <w:b/>
          <w:sz w:val="22"/>
          <w:szCs w:val="22"/>
        </w:rPr>
        <w:t>Männermode-Großhandelsgesellschaft</w:t>
      </w:r>
      <w:proofErr w:type="spellEnd"/>
      <w:r w:rsidRPr="00F86CFA">
        <w:rPr>
          <w:b/>
          <w:sz w:val="22"/>
          <w:szCs w:val="22"/>
        </w:rPr>
        <w:br/>
        <w:t xml:space="preserve">mit </w:t>
      </w:r>
      <w:proofErr w:type="spellStart"/>
      <w:r w:rsidRPr="00F86CFA">
        <w:rPr>
          <w:b/>
          <w:sz w:val="22"/>
          <w:szCs w:val="22"/>
        </w:rPr>
        <w:t>beschränkter</w:t>
      </w:r>
      <w:proofErr w:type="spellEnd"/>
      <w:r w:rsidRPr="00F86CFA">
        <w:rPr>
          <w:b/>
          <w:sz w:val="22"/>
          <w:szCs w:val="22"/>
        </w:rPr>
        <w:t xml:space="preserve"> </w:t>
      </w:r>
      <w:proofErr w:type="spellStart"/>
      <w:r w:rsidRPr="00F86CFA">
        <w:rPr>
          <w:b/>
          <w:sz w:val="22"/>
          <w:szCs w:val="22"/>
        </w:rPr>
        <w:t>Haftung</w:t>
      </w:r>
      <w:proofErr w:type="spellEnd"/>
      <w:r w:rsidRPr="00F86CFA">
        <w:rPr>
          <w:sz w:val="22"/>
          <w:szCs w:val="22"/>
        </w:rPr>
        <w:br/>
        <w:t>Spółka z o.o. prawa niemieckiego,</w:t>
      </w:r>
      <w:r w:rsidRPr="00F86CFA">
        <w:rPr>
          <w:sz w:val="22"/>
          <w:szCs w:val="22"/>
        </w:rPr>
        <w:br/>
        <w:t>działająca przez Oddział w Polsce</w:t>
      </w:r>
      <w:r w:rsidRPr="00F86CFA">
        <w:rPr>
          <w:sz w:val="22"/>
          <w:szCs w:val="22"/>
        </w:rPr>
        <w:br/>
        <w:t>KRS nr 0000949260</w:t>
      </w:r>
      <w:r w:rsidRPr="00F86CFA">
        <w:rPr>
          <w:sz w:val="22"/>
          <w:szCs w:val="22"/>
          <w:u w:val="single"/>
        </w:rPr>
        <w:br/>
        <w:t>adres siedziby oddziału:</w:t>
      </w:r>
      <w:r w:rsidRPr="00F86CFA">
        <w:rPr>
          <w:sz w:val="22"/>
          <w:szCs w:val="22"/>
        </w:rPr>
        <w:br/>
        <w:t>ul. Żwirki i Wigury 61</w:t>
      </w:r>
      <w:r w:rsidRPr="00F86CFA">
        <w:rPr>
          <w:sz w:val="22"/>
          <w:szCs w:val="22"/>
        </w:rPr>
        <w:br/>
        <w:t>02-091 Warszawa</w:t>
      </w:r>
      <w:r w:rsidRPr="00F86CFA">
        <w:rPr>
          <w:sz w:val="22"/>
          <w:szCs w:val="22"/>
        </w:rPr>
        <w:br/>
      </w:r>
      <w:r w:rsidRPr="00F86CFA">
        <w:rPr>
          <w:sz w:val="22"/>
          <w:szCs w:val="22"/>
          <w:u w:val="single"/>
        </w:rPr>
        <w:t>reprezentowana przez</w:t>
      </w:r>
      <w:r w:rsidRPr="00F86CFA">
        <w:rPr>
          <w:sz w:val="22"/>
          <w:szCs w:val="22"/>
        </w:rPr>
        <w:br/>
      </w:r>
      <w:r w:rsidR="00E671D4" w:rsidRPr="00F86CFA">
        <w:rPr>
          <w:sz w:val="22"/>
          <w:szCs w:val="22"/>
        </w:rPr>
        <w:t>r.pr. Magdalenę Ossowską</w:t>
      </w:r>
      <w:r w:rsidR="00E671D4" w:rsidRPr="00F86CFA">
        <w:rPr>
          <w:sz w:val="22"/>
          <w:szCs w:val="22"/>
        </w:rPr>
        <w:br/>
        <w:t>adw. Pawła Zabielskiego</w:t>
      </w:r>
      <w:r w:rsidR="00E671D4" w:rsidRPr="00F86CFA">
        <w:rPr>
          <w:sz w:val="22"/>
          <w:szCs w:val="22"/>
        </w:rPr>
        <w:br/>
        <w:t>adw. Agnieszkę Warsewicz</w:t>
      </w:r>
      <w:r w:rsidR="00E671D4" w:rsidRPr="00F86CFA">
        <w:rPr>
          <w:sz w:val="22"/>
          <w:szCs w:val="22"/>
        </w:rPr>
        <w:br/>
      </w:r>
      <w:r w:rsidR="00E671D4" w:rsidRPr="00F86CFA">
        <w:rPr>
          <w:i/>
          <w:sz w:val="22"/>
          <w:szCs w:val="22"/>
        </w:rPr>
        <w:t>adres do doręczeń:</w:t>
      </w:r>
      <w:r w:rsidR="00E671D4" w:rsidRPr="00F86CFA">
        <w:rPr>
          <w:i/>
          <w:sz w:val="22"/>
          <w:szCs w:val="22"/>
        </w:rPr>
        <w:br/>
      </w:r>
      <w:r w:rsidR="00E671D4" w:rsidRPr="00F86CFA">
        <w:rPr>
          <w:sz w:val="22"/>
          <w:szCs w:val="22"/>
        </w:rPr>
        <w:t>Kancelaria Ossowska Warsewicz Zabielski Adwokaci i Radc</w:t>
      </w:r>
      <w:r w:rsidR="00D36BC1" w:rsidRPr="00F86CFA">
        <w:rPr>
          <w:sz w:val="22"/>
          <w:szCs w:val="22"/>
        </w:rPr>
        <w:t>owie</w:t>
      </w:r>
      <w:r w:rsidR="00E671D4" w:rsidRPr="00F86CFA">
        <w:rPr>
          <w:sz w:val="22"/>
          <w:szCs w:val="22"/>
        </w:rPr>
        <w:t xml:space="preserve"> Praw</w:t>
      </w:r>
      <w:r w:rsidR="00D36BC1" w:rsidRPr="00F86CFA">
        <w:rPr>
          <w:sz w:val="22"/>
          <w:szCs w:val="22"/>
        </w:rPr>
        <w:t>n</w:t>
      </w:r>
      <w:r w:rsidR="00E671D4" w:rsidRPr="00F86CFA">
        <w:rPr>
          <w:sz w:val="22"/>
          <w:szCs w:val="22"/>
        </w:rPr>
        <w:t xml:space="preserve">i </w:t>
      </w:r>
      <w:proofErr w:type="spellStart"/>
      <w:r w:rsidR="00E671D4" w:rsidRPr="00F86CFA">
        <w:rPr>
          <w:sz w:val="22"/>
          <w:szCs w:val="22"/>
        </w:rPr>
        <w:t>sp.p</w:t>
      </w:r>
      <w:proofErr w:type="spellEnd"/>
      <w:r w:rsidR="00E671D4" w:rsidRPr="00F86CFA">
        <w:rPr>
          <w:sz w:val="22"/>
          <w:szCs w:val="22"/>
        </w:rPr>
        <w:t>.</w:t>
      </w:r>
      <w:r w:rsidR="00E671D4" w:rsidRPr="00F86CFA">
        <w:rPr>
          <w:sz w:val="22"/>
          <w:szCs w:val="22"/>
        </w:rPr>
        <w:br/>
        <w:t>ul. Świętokrzyska 20 lok. 5</w:t>
      </w:r>
      <w:r w:rsidR="00D36BC1" w:rsidRPr="00F86CFA">
        <w:rPr>
          <w:sz w:val="22"/>
          <w:szCs w:val="22"/>
        </w:rPr>
        <w:t xml:space="preserve">, </w:t>
      </w:r>
      <w:r w:rsidR="00E671D4" w:rsidRPr="00F86CFA">
        <w:rPr>
          <w:sz w:val="22"/>
          <w:szCs w:val="22"/>
        </w:rPr>
        <w:t>00-002 Warszawa</w:t>
      </w:r>
    </w:p>
    <w:p w14:paraId="276C0775" w14:textId="3317C939" w:rsidR="00212F17" w:rsidRPr="00F86CFA" w:rsidRDefault="00212F17" w:rsidP="00212F17">
      <w:pPr>
        <w:ind w:left="4500" w:hanging="1620"/>
        <w:jc w:val="left"/>
        <w:rPr>
          <w:i/>
          <w:iCs/>
          <w:sz w:val="22"/>
          <w:szCs w:val="22"/>
        </w:rPr>
      </w:pPr>
      <w:r w:rsidRPr="00F86CFA">
        <w:rPr>
          <w:sz w:val="22"/>
          <w:szCs w:val="22"/>
        </w:rPr>
        <w:br/>
      </w:r>
      <w:r w:rsidRPr="00F86CFA">
        <w:rPr>
          <w:i/>
          <w:iCs/>
          <w:sz w:val="22"/>
          <w:szCs w:val="22"/>
        </w:rPr>
        <w:t>Pozwana:</w:t>
      </w:r>
    </w:p>
    <w:p w14:paraId="353BD2E1" w14:textId="66EC6BF4" w:rsidR="00212F17" w:rsidRPr="00F86CFA" w:rsidRDefault="00212F17" w:rsidP="00212F17">
      <w:pPr>
        <w:ind w:left="4500" w:hanging="1620"/>
        <w:jc w:val="left"/>
        <w:rPr>
          <w:sz w:val="22"/>
          <w:szCs w:val="22"/>
        </w:rPr>
      </w:pPr>
      <w:r w:rsidRPr="00F86CFA">
        <w:rPr>
          <w:sz w:val="22"/>
          <w:szCs w:val="22"/>
        </w:rPr>
        <w:tab/>
      </w:r>
      <w:r w:rsidRPr="00F86CFA">
        <w:rPr>
          <w:b/>
          <w:sz w:val="22"/>
          <w:szCs w:val="22"/>
        </w:rPr>
        <w:t>Barbara Nowak</w:t>
      </w:r>
      <w:r w:rsidRPr="00F86CFA">
        <w:rPr>
          <w:sz w:val="22"/>
          <w:szCs w:val="22"/>
        </w:rPr>
        <w:br/>
      </w:r>
      <w:r w:rsidRPr="00F86CFA">
        <w:rPr>
          <w:sz w:val="22"/>
          <w:szCs w:val="22"/>
          <w:u w:val="single"/>
        </w:rPr>
        <w:t>adres zamieszkania:</w:t>
      </w:r>
      <w:r w:rsidRPr="00F86CFA">
        <w:rPr>
          <w:sz w:val="22"/>
          <w:szCs w:val="22"/>
        </w:rPr>
        <w:br/>
        <w:t>Al. Powstańców Warszawy 1</w:t>
      </w:r>
      <w:r w:rsidRPr="00F86CFA">
        <w:rPr>
          <w:sz w:val="22"/>
          <w:szCs w:val="22"/>
        </w:rPr>
        <w:br/>
        <w:t>05-816 Warszawa</w:t>
      </w:r>
    </w:p>
    <w:p w14:paraId="1EEB0AC9" w14:textId="1472D772" w:rsidR="00C800F5" w:rsidRPr="00F86CFA" w:rsidRDefault="00C800F5" w:rsidP="00F0688E">
      <w:pPr>
        <w:ind w:left="4500" w:hanging="105"/>
        <w:jc w:val="left"/>
        <w:rPr>
          <w:iCs/>
          <w:sz w:val="22"/>
          <w:szCs w:val="22"/>
          <w:u w:val="single"/>
        </w:rPr>
      </w:pPr>
      <w:r w:rsidRPr="00F86CFA">
        <w:rPr>
          <w:iCs/>
          <w:sz w:val="22"/>
          <w:szCs w:val="22"/>
        </w:rPr>
        <w:t xml:space="preserve">  </w:t>
      </w:r>
      <w:r w:rsidRPr="00F86CFA">
        <w:rPr>
          <w:iCs/>
          <w:sz w:val="22"/>
          <w:szCs w:val="22"/>
          <w:u w:val="single"/>
        </w:rPr>
        <w:t>reprezentowana przez:</w:t>
      </w:r>
    </w:p>
    <w:p w14:paraId="14BFDD56" w14:textId="4FF56D06" w:rsidR="00F0688E" w:rsidRPr="00F86CFA" w:rsidRDefault="00F0688E" w:rsidP="00F0688E">
      <w:pPr>
        <w:ind w:left="4500" w:hanging="105"/>
        <w:jc w:val="left"/>
        <w:rPr>
          <w:iCs/>
          <w:sz w:val="22"/>
          <w:szCs w:val="22"/>
        </w:rPr>
      </w:pPr>
      <w:r w:rsidRPr="00F86CFA">
        <w:rPr>
          <w:iCs/>
          <w:sz w:val="22"/>
          <w:szCs w:val="22"/>
        </w:rPr>
        <w:t xml:space="preserve">  adw. Zdzisława Zmyślnego</w:t>
      </w:r>
    </w:p>
    <w:p w14:paraId="12CA623D" w14:textId="43F77AAA" w:rsidR="00F0688E" w:rsidRPr="00F86CFA" w:rsidRDefault="00F0688E" w:rsidP="00F0688E">
      <w:pPr>
        <w:ind w:left="4500" w:hanging="105"/>
        <w:jc w:val="left"/>
        <w:rPr>
          <w:i/>
          <w:iCs/>
          <w:sz w:val="22"/>
          <w:szCs w:val="22"/>
        </w:rPr>
      </w:pPr>
      <w:r w:rsidRPr="00F86CFA">
        <w:rPr>
          <w:iCs/>
          <w:sz w:val="22"/>
          <w:szCs w:val="22"/>
        </w:rPr>
        <w:t xml:space="preserve">  </w:t>
      </w:r>
      <w:r w:rsidRPr="00F86CFA">
        <w:rPr>
          <w:i/>
          <w:iCs/>
          <w:sz w:val="22"/>
          <w:szCs w:val="22"/>
        </w:rPr>
        <w:t>adres do doręczeń:</w:t>
      </w:r>
    </w:p>
    <w:p w14:paraId="1034AD77" w14:textId="04B7453C" w:rsidR="00F0688E" w:rsidRPr="00F86CFA" w:rsidRDefault="00F0688E" w:rsidP="00485BD1">
      <w:pPr>
        <w:ind w:left="4500" w:hanging="105"/>
        <w:jc w:val="left"/>
        <w:outlineLvl w:val="0"/>
        <w:rPr>
          <w:iCs/>
          <w:sz w:val="22"/>
          <w:szCs w:val="22"/>
        </w:rPr>
      </w:pPr>
      <w:r w:rsidRPr="00F86CFA">
        <w:rPr>
          <w:iCs/>
          <w:sz w:val="22"/>
          <w:szCs w:val="22"/>
        </w:rPr>
        <w:t xml:space="preserve">  Kancelaria Adwokacka</w:t>
      </w:r>
    </w:p>
    <w:p w14:paraId="2F1FAF35" w14:textId="3F4D0111" w:rsidR="00F0688E" w:rsidRPr="00F86CFA" w:rsidRDefault="00F0688E" w:rsidP="00F0688E">
      <w:pPr>
        <w:ind w:left="4500" w:hanging="105"/>
        <w:jc w:val="left"/>
        <w:rPr>
          <w:iCs/>
          <w:sz w:val="22"/>
          <w:szCs w:val="22"/>
        </w:rPr>
      </w:pPr>
      <w:r w:rsidRPr="00F86CFA">
        <w:rPr>
          <w:iCs/>
          <w:sz w:val="22"/>
          <w:szCs w:val="22"/>
        </w:rPr>
        <w:t xml:space="preserve">  ul. Kraszewskiego 86, 05-800 Pruszków</w:t>
      </w:r>
    </w:p>
    <w:p w14:paraId="644A8A8C" w14:textId="05E7B1A4" w:rsidR="00212F17" w:rsidRPr="00F86CFA" w:rsidRDefault="00212F17" w:rsidP="00212F17">
      <w:pPr>
        <w:jc w:val="left"/>
        <w:rPr>
          <w:b/>
          <w:sz w:val="22"/>
          <w:szCs w:val="22"/>
        </w:rPr>
      </w:pPr>
    </w:p>
    <w:p w14:paraId="2496A5D0" w14:textId="38CF898D" w:rsidR="00F0688E" w:rsidRPr="00F86CFA" w:rsidRDefault="00F0688E" w:rsidP="00485BD1">
      <w:pPr>
        <w:ind w:hanging="714"/>
        <w:jc w:val="left"/>
        <w:outlineLvl w:val="0"/>
        <w:rPr>
          <w:b/>
          <w:sz w:val="22"/>
          <w:szCs w:val="22"/>
        </w:rPr>
      </w:pPr>
      <w:r w:rsidRPr="00F86CFA">
        <w:rPr>
          <w:b/>
          <w:sz w:val="22"/>
          <w:szCs w:val="22"/>
        </w:rPr>
        <w:t>Sygn. akt: XXV C 2440/18</w:t>
      </w:r>
    </w:p>
    <w:p w14:paraId="33C6F72C" w14:textId="0BB2CF71" w:rsidR="00D84027" w:rsidRPr="00F86CFA" w:rsidRDefault="00212F17" w:rsidP="00485BD1">
      <w:pPr>
        <w:ind w:hanging="714"/>
        <w:outlineLvl w:val="0"/>
        <w:rPr>
          <w:bCs/>
          <w:sz w:val="22"/>
          <w:szCs w:val="22"/>
        </w:rPr>
      </w:pPr>
      <w:r w:rsidRPr="00F86CFA">
        <w:rPr>
          <w:bCs/>
          <w:sz w:val="22"/>
          <w:szCs w:val="22"/>
        </w:rPr>
        <w:t xml:space="preserve">Wartość przedmiotu </w:t>
      </w:r>
      <w:r w:rsidR="00F0688E" w:rsidRPr="00F86CFA">
        <w:rPr>
          <w:bCs/>
          <w:sz w:val="22"/>
          <w:szCs w:val="22"/>
        </w:rPr>
        <w:t>zaskarżenia:</w:t>
      </w:r>
      <w:r w:rsidR="00D84027" w:rsidRPr="00F86CFA">
        <w:rPr>
          <w:bCs/>
          <w:sz w:val="22"/>
          <w:szCs w:val="22"/>
        </w:rPr>
        <w:t xml:space="preserve"> 1 943 358 zł</w:t>
      </w:r>
    </w:p>
    <w:p w14:paraId="4F33C72C" w14:textId="6AA364AA" w:rsidR="00F0688E" w:rsidRPr="00F86CFA" w:rsidRDefault="00F0688E" w:rsidP="00464D30">
      <w:pPr>
        <w:ind w:hanging="714"/>
        <w:rPr>
          <w:bCs/>
          <w:sz w:val="22"/>
          <w:szCs w:val="22"/>
        </w:rPr>
      </w:pPr>
      <w:r w:rsidRPr="00F86CFA">
        <w:rPr>
          <w:bCs/>
          <w:sz w:val="22"/>
          <w:szCs w:val="22"/>
        </w:rPr>
        <w:t xml:space="preserve">Opłata sądowa: </w:t>
      </w:r>
      <w:r w:rsidR="00D84027" w:rsidRPr="00F86CFA">
        <w:rPr>
          <w:bCs/>
          <w:sz w:val="22"/>
          <w:szCs w:val="22"/>
        </w:rPr>
        <w:t>97</w:t>
      </w:r>
      <w:r w:rsidR="00464D30" w:rsidRPr="00F86CFA">
        <w:rPr>
          <w:bCs/>
          <w:sz w:val="22"/>
          <w:szCs w:val="22"/>
        </w:rPr>
        <w:t> </w:t>
      </w:r>
      <w:r w:rsidR="00D84027" w:rsidRPr="00F86CFA">
        <w:rPr>
          <w:bCs/>
          <w:sz w:val="22"/>
          <w:szCs w:val="22"/>
        </w:rPr>
        <w:t>16</w:t>
      </w:r>
      <w:r w:rsidR="00464D30" w:rsidRPr="00F86CFA">
        <w:rPr>
          <w:bCs/>
          <w:sz w:val="22"/>
          <w:szCs w:val="22"/>
        </w:rPr>
        <w:t>8</w:t>
      </w:r>
      <w:r w:rsidR="00D84027" w:rsidRPr="00F86CFA">
        <w:rPr>
          <w:bCs/>
          <w:sz w:val="22"/>
          <w:szCs w:val="22"/>
        </w:rPr>
        <w:t xml:space="preserve"> zł uiszczona w całości na rachunek bankowy Sądu</w:t>
      </w:r>
    </w:p>
    <w:p w14:paraId="397CF540" w14:textId="77777777" w:rsidR="00212F17" w:rsidRPr="00F86CFA" w:rsidRDefault="00212F17" w:rsidP="00212F17">
      <w:pPr>
        <w:rPr>
          <w:b/>
          <w:sz w:val="22"/>
          <w:szCs w:val="22"/>
        </w:rPr>
      </w:pPr>
    </w:p>
    <w:p w14:paraId="09D96B0D" w14:textId="0C357A40" w:rsidR="00212F17" w:rsidRPr="00F86CFA" w:rsidRDefault="00F0688E" w:rsidP="00485BD1">
      <w:pPr>
        <w:jc w:val="center"/>
        <w:outlineLvl w:val="0"/>
        <w:rPr>
          <w:b/>
          <w:sz w:val="22"/>
          <w:szCs w:val="22"/>
        </w:rPr>
      </w:pPr>
      <w:r w:rsidRPr="00F86CFA">
        <w:rPr>
          <w:b/>
          <w:sz w:val="22"/>
          <w:szCs w:val="22"/>
        </w:rPr>
        <w:t>APELACJA</w:t>
      </w:r>
    </w:p>
    <w:p w14:paraId="4D862BB1" w14:textId="77777777" w:rsidR="00F0688E" w:rsidRPr="00F86CFA" w:rsidRDefault="00F0688E" w:rsidP="00212F17">
      <w:pPr>
        <w:jc w:val="center"/>
        <w:rPr>
          <w:b/>
          <w:sz w:val="22"/>
          <w:szCs w:val="22"/>
        </w:rPr>
      </w:pPr>
      <w:r w:rsidRPr="00F86CFA">
        <w:rPr>
          <w:b/>
          <w:sz w:val="22"/>
          <w:szCs w:val="22"/>
        </w:rPr>
        <w:t>od wyroku Sądu Okręgowego w Warszawie z dnia 11 czerwca 2019 r.</w:t>
      </w:r>
    </w:p>
    <w:p w14:paraId="7A9F9CCC" w14:textId="59FEE8B9" w:rsidR="00F0688E" w:rsidRPr="00F86CFA" w:rsidRDefault="00F0688E" w:rsidP="00212F17">
      <w:pPr>
        <w:jc w:val="center"/>
        <w:rPr>
          <w:b/>
          <w:sz w:val="22"/>
          <w:szCs w:val="22"/>
        </w:rPr>
      </w:pPr>
      <w:r w:rsidRPr="00F86CFA">
        <w:rPr>
          <w:b/>
          <w:sz w:val="22"/>
          <w:szCs w:val="22"/>
        </w:rPr>
        <w:t xml:space="preserve">w sprawie o sygn. XXV C 2440/18 </w:t>
      </w:r>
    </w:p>
    <w:p w14:paraId="2F183A36" w14:textId="77777777" w:rsidR="00212F17" w:rsidRPr="00F86CFA" w:rsidRDefault="00212F17" w:rsidP="00212F17">
      <w:pPr>
        <w:jc w:val="center"/>
        <w:rPr>
          <w:sz w:val="22"/>
          <w:szCs w:val="22"/>
        </w:rPr>
      </w:pPr>
    </w:p>
    <w:p w14:paraId="4C37BBF1" w14:textId="32C4071A" w:rsidR="00F0688E" w:rsidRPr="00F86CFA" w:rsidRDefault="00212F17" w:rsidP="00F0688E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Działając w imieniu </w:t>
      </w:r>
      <w:r w:rsidR="00F0688E" w:rsidRPr="00F86CFA">
        <w:rPr>
          <w:sz w:val="22"/>
          <w:szCs w:val="22"/>
        </w:rPr>
        <w:t xml:space="preserve">i na rzecz </w:t>
      </w:r>
      <w:r w:rsidRPr="00F86CFA">
        <w:rPr>
          <w:sz w:val="22"/>
          <w:szCs w:val="22"/>
        </w:rPr>
        <w:t>Powoda na podstawie udzielonego mi pełnomocnictwa</w:t>
      </w:r>
      <w:r w:rsidR="00F0688E" w:rsidRPr="00F86CFA">
        <w:rPr>
          <w:sz w:val="22"/>
          <w:szCs w:val="22"/>
        </w:rPr>
        <w:t xml:space="preserve">, którego </w:t>
      </w:r>
      <w:r w:rsidRPr="00F86CFA">
        <w:rPr>
          <w:sz w:val="22"/>
          <w:szCs w:val="22"/>
        </w:rPr>
        <w:t xml:space="preserve">poświadczony odpis </w:t>
      </w:r>
      <w:r w:rsidR="00F0688E" w:rsidRPr="00F86CFA">
        <w:rPr>
          <w:sz w:val="22"/>
          <w:szCs w:val="22"/>
        </w:rPr>
        <w:t xml:space="preserve">przedkładam </w:t>
      </w:r>
      <w:r w:rsidRPr="00F86CFA">
        <w:rPr>
          <w:sz w:val="22"/>
          <w:szCs w:val="22"/>
        </w:rPr>
        <w:t>w załączeniu</w:t>
      </w:r>
      <w:r w:rsidR="001832CA" w:rsidRPr="00F86CFA">
        <w:rPr>
          <w:sz w:val="22"/>
          <w:szCs w:val="22"/>
        </w:rPr>
        <w:t>,</w:t>
      </w:r>
      <w:r w:rsidR="00F0688E" w:rsidRPr="00F86CFA">
        <w:rPr>
          <w:sz w:val="22"/>
          <w:szCs w:val="22"/>
        </w:rPr>
        <w:t xml:space="preserve"> na podstawie art. 367 § 1 i 2 </w:t>
      </w:r>
      <w:r w:rsidR="00553335" w:rsidRPr="00F86CFA">
        <w:rPr>
          <w:sz w:val="22"/>
          <w:szCs w:val="22"/>
        </w:rPr>
        <w:t>k.p.c.</w:t>
      </w:r>
      <w:r w:rsidR="00F0688E" w:rsidRPr="00F86CFA">
        <w:rPr>
          <w:sz w:val="22"/>
          <w:szCs w:val="22"/>
        </w:rPr>
        <w:t xml:space="preserve">, zaskarżam </w:t>
      </w:r>
      <w:r w:rsidR="000B009A" w:rsidRPr="00F86CFA">
        <w:rPr>
          <w:sz w:val="22"/>
          <w:szCs w:val="22"/>
        </w:rPr>
        <w:t>w</w:t>
      </w:r>
      <w:r w:rsidR="00E671D4" w:rsidRPr="00F86CFA">
        <w:rPr>
          <w:sz w:val="22"/>
          <w:szCs w:val="22"/>
        </w:rPr>
        <w:t> </w:t>
      </w:r>
      <w:r w:rsidR="000B009A" w:rsidRPr="00F86CFA">
        <w:rPr>
          <w:sz w:val="22"/>
          <w:szCs w:val="22"/>
        </w:rPr>
        <w:t xml:space="preserve">całości </w:t>
      </w:r>
      <w:r w:rsidR="00F0688E" w:rsidRPr="00F86CFA">
        <w:rPr>
          <w:sz w:val="22"/>
          <w:szCs w:val="22"/>
        </w:rPr>
        <w:t>wyrok Sądu Okręgowego w Warszawie</w:t>
      </w:r>
      <w:r w:rsidR="00553335" w:rsidRPr="00F86CFA">
        <w:rPr>
          <w:sz w:val="22"/>
          <w:szCs w:val="22"/>
        </w:rPr>
        <w:t>, XXV Wydziału Cywilnego</w:t>
      </w:r>
      <w:r w:rsidR="001832CA" w:rsidRPr="00F86CFA">
        <w:rPr>
          <w:sz w:val="22"/>
          <w:szCs w:val="22"/>
        </w:rPr>
        <w:t>,</w:t>
      </w:r>
      <w:r w:rsidR="00553335" w:rsidRPr="00F86CFA">
        <w:rPr>
          <w:sz w:val="22"/>
          <w:szCs w:val="22"/>
        </w:rPr>
        <w:t xml:space="preserve"> </w:t>
      </w:r>
      <w:r w:rsidR="00F0688E" w:rsidRPr="00F86CFA">
        <w:rPr>
          <w:sz w:val="22"/>
          <w:szCs w:val="22"/>
        </w:rPr>
        <w:t>z</w:t>
      </w:r>
      <w:r w:rsidR="004B4C0E" w:rsidRPr="00F86CFA">
        <w:rPr>
          <w:sz w:val="22"/>
          <w:szCs w:val="22"/>
        </w:rPr>
        <w:t> </w:t>
      </w:r>
      <w:r w:rsidR="00F0688E" w:rsidRPr="00F86CFA">
        <w:rPr>
          <w:sz w:val="22"/>
          <w:szCs w:val="22"/>
        </w:rPr>
        <w:t>dnia</w:t>
      </w:r>
      <w:r w:rsidR="004B4C0E" w:rsidRPr="00F86CFA">
        <w:rPr>
          <w:sz w:val="22"/>
          <w:szCs w:val="22"/>
        </w:rPr>
        <w:t> </w:t>
      </w:r>
      <w:r w:rsidR="00F0688E" w:rsidRPr="00F86CFA">
        <w:rPr>
          <w:sz w:val="22"/>
          <w:szCs w:val="22"/>
        </w:rPr>
        <w:t>11</w:t>
      </w:r>
      <w:r w:rsidR="00D36BC1" w:rsidRPr="00F86CFA">
        <w:rPr>
          <w:sz w:val="22"/>
          <w:szCs w:val="22"/>
        </w:rPr>
        <w:t> </w:t>
      </w:r>
      <w:r w:rsidR="00F0688E" w:rsidRPr="00F86CFA">
        <w:rPr>
          <w:sz w:val="22"/>
          <w:szCs w:val="22"/>
        </w:rPr>
        <w:t>czerwca</w:t>
      </w:r>
      <w:r w:rsidR="00D36BC1" w:rsidRPr="00F86CFA">
        <w:rPr>
          <w:sz w:val="22"/>
          <w:szCs w:val="22"/>
        </w:rPr>
        <w:t> </w:t>
      </w:r>
      <w:r w:rsidR="00F0688E" w:rsidRPr="00F86CFA">
        <w:rPr>
          <w:sz w:val="22"/>
          <w:szCs w:val="22"/>
        </w:rPr>
        <w:t>2019</w:t>
      </w:r>
      <w:r w:rsidR="00D36BC1" w:rsidRPr="00F86CFA">
        <w:rPr>
          <w:sz w:val="22"/>
          <w:szCs w:val="22"/>
        </w:rPr>
        <w:t> </w:t>
      </w:r>
      <w:r w:rsidR="00F0688E" w:rsidRPr="00F86CFA">
        <w:rPr>
          <w:sz w:val="22"/>
          <w:szCs w:val="22"/>
        </w:rPr>
        <w:t>r.</w:t>
      </w:r>
      <w:r w:rsidR="00553335" w:rsidRPr="00F86CFA">
        <w:rPr>
          <w:sz w:val="22"/>
          <w:szCs w:val="22"/>
        </w:rPr>
        <w:t xml:space="preserve"> </w:t>
      </w:r>
      <w:r w:rsidR="00553335" w:rsidRPr="00F86CFA">
        <w:rPr>
          <w:sz w:val="22"/>
          <w:szCs w:val="22"/>
        </w:rPr>
        <w:lastRenderedPageBreak/>
        <w:t>w</w:t>
      </w:r>
      <w:r w:rsidR="00F86CFA" w:rsidRPr="00F86CFA">
        <w:rPr>
          <w:sz w:val="22"/>
          <w:szCs w:val="22"/>
        </w:rPr>
        <w:t> </w:t>
      </w:r>
      <w:r w:rsidR="00553335" w:rsidRPr="00F86CFA">
        <w:rPr>
          <w:sz w:val="22"/>
          <w:szCs w:val="22"/>
        </w:rPr>
        <w:t>sprawie o sygn. XXV C 2440/18. Wyrok zos</w:t>
      </w:r>
      <w:r w:rsidR="00E671D4" w:rsidRPr="00F86CFA">
        <w:rPr>
          <w:sz w:val="22"/>
          <w:szCs w:val="22"/>
        </w:rPr>
        <w:t>tał prawidłowo doręczony wraz</w:t>
      </w:r>
      <w:r w:rsidR="00D36BC1" w:rsidRPr="00F86CFA">
        <w:rPr>
          <w:sz w:val="22"/>
          <w:szCs w:val="22"/>
        </w:rPr>
        <w:t> </w:t>
      </w:r>
      <w:r w:rsidR="00E671D4" w:rsidRPr="00F86CFA">
        <w:rPr>
          <w:sz w:val="22"/>
          <w:szCs w:val="22"/>
        </w:rPr>
        <w:t>z </w:t>
      </w:r>
      <w:r w:rsidR="00553335" w:rsidRPr="00F86CFA">
        <w:rPr>
          <w:sz w:val="22"/>
          <w:szCs w:val="22"/>
        </w:rPr>
        <w:t>uzasadnieniem Powodowi w dniu 6 grudnia 2019 r.</w:t>
      </w:r>
    </w:p>
    <w:p w14:paraId="18739D0B" w14:textId="575DB408" w:rsidR="00553335" w:rsidRPr="00F86CFA" w:rsidRDefault="00553335" w:rsidP="00F0688E">
      <w:pPr>
        <w:ind w:left="0" w:firstLine="0"/>
        <w:rPr>
          <w:sz w:val="22"/>
          <w:szCs w:val="22"/>
        </w:rPr>
      </w:pPr>
    </w:p>
    <w:p w14:paraId="40D07085" w14:textId="0C1A664B" w:rsidR="00553335" w:rsidRPr="00F86CFA" w:rsidRDefault="00553335" w:rsidP="00F0688E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Na podstawie art. 368 § 1 pkt 2 k.p.c. zaskarżonemu wyrokowi zarzucam:</w:t>
      </w:r>
    </w:p>
    <w:p w14:paraId="6BD2F79A" w14:textId="1771BD2B" w:rsidR="00553335" w:rsidRPr="00F86CFA" w:rsidRDefault="00553335" w:rsidP="00F0688E">
      <w:pPr>
        <w:ind w:left="0" w:firstLine="0"/>
        <w:rPr>
          <w:sz w:val="22"/>
          <w:szCs w:val="22"/>
        </w:rPr>
      </w:pPr>
    </w:p>
    <w:p w14:paraId="0172D598" w14:textId="1FC2DAC7" w:rsidR="00553335" w:rsidRPr="00F86CFA" w:rsidRDefault="00553335" w:rsidP="00F0688E">
      <w:pPr>
        <w:ind w:left="0" w:firstLine="0"/>
        <w:rPr>
          <w:sz w:val="22"/>
          <w:szCs w:val="22"/>
        </w:rPr>
      </w:pPr>
    </w:p>
    <w:p w14:paraId="1A463360" w14:textId="26CC9470" w:rsidR="00D84027" w:rsidRPr="00F86CFA" w:rsidRDefault="00D84027" w:rsidP="004B4C0E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color w:val="000000"/>
          <w:shd w:val="clear" w:color="auto" w:fill="FFFFFF"/>
        </w:rPr>
        <w:t>Naruszenie prawa procesowego mogące mieć istotny wpływ na wynik sprawy, to jest:</w:t>
      </w:r>
    </w:p>
    <w:p w14:paraId="11674915" w14:textId="77777777" w:rsidR="004864CB" w:rsidRPr="00F86CFA" w:rsidRDefault="004864CB" w:rsidP="004864CB">
      <w:pPr>
        <w:pStyle w:val="Akapitzlist"/>
        <w:ind w:firstLine="0"/>
        <w:rPr>
          <w:rFonts w:ascii="Times New Roman" w:hAnsi="Times New Roman"/>
          <w:b/>
          <w:bCs/>
        </w:rPr>
      </w:pPr>
    </w:p>
    <w:p w14:paraId="51CD0484" w14:textId="358AD58A" w:rsidR="00126272" w:rsidRPr="00F86CFA" w:rsidRDefault="00464D30" w:rsidP="00D8402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color w:val="000000"/>
        </w:rPr>
        <w:t>a</w:t>
      </w:r>
      <w:r w:rsidR="00D84027" w:rsidRPr="00F86CFA">
        <w:rPr>
          <w:rFonts w:ascii="Times New Roman" w:hAnsi="Times New Roman"/>
          <w:color w:val="000000"/>
        </w:rPr>
        <w:t>rt. 233 § 1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 xml:space="preserve"> k.p.c., tj. sprzeczność istotnych ustaleń faktycznych z zebranym w sprawie materiałem dowodowym przez brak jego wszechstronnego </w:t>
      </w:r>
      <w:r w:rsidR="00126272" w:rsidRPr="00F86CFA">
        <w:rPr>
          <w:rFonts w:ascii="Times New Roman" w:hAnsi="Times New Roman"/>
          <w:color w:val="000000"/>
          <w:shd w:val="clear" w:color="auto" w:fill="FFFFFF"/>
        </w:rPr>
        <w:t xml:space="preserve">rozważenia 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>oraz dokonanie ustaleń faktycznych w sposób sprzeczny z zasadami logi</w:t>
      </w:r>
      <w:r w:rsidR="00E671D4" w:rsidRPr="00F86CFA">
        <w:rPr>
          <w:rFonts w:ascii="Times New Roman" w:hAnsi="Times New Roman"/>
          <w:color w:val="000000"/>
          <w:shd w:val="clear" w:color="auto" w:fill="FFFFFF"/>
        </w:rPr>
        <w:t>ki i doświadczenia życiowego, w 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 xml:space="preserve">szczególności </w:t>
      </w:r>
      <w:r w:rsidR="00697F73" w:rsidRPr="00F86CFA">
        <w:rPr>
          <w:rFonts w:ascii="Times New Roman" w:hAnsi="Times New Roman"/>
          <w:color w:val="000000"/>
          <w:shd w:val="clear" w:color="auto" w:fill="FFFFFF"/>
        </w:rPr>
        <w:t>przez</w:t>
      </w:r>
      <w:r w:rsidR="00D835C7" w:rsidRPr="00F86CFA">
        <w:rPr>
          <w:rFonts w:ascii="Times New Roman" w:hAnsi="Times New Roman"/>
          <w:color w:val="000000"/>
          <w:shd w:val="clear" w:color="auto" w:fill="FFFFFF"/>
        </w:rPr>
        <w:t>:</w:t>
      </w:r>
      <w:r w:rsidR="00697F73" w:rsidRPr="00F86CF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122DA54C" w14:textId="4D55B0B0" w:rsidR="00D84027" w:rsidRPr="00F86CFA" w:rsidRDefault="00697F73" w:rsidP="00E671D4">
      <w:pPr>
        <w:pStyle w:val="Akapitzlist"/>
        <w:numPr>
          <w:ilvl w:val="1"/>
          <w:numId w:val="5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color w:val="000000"/>
          <w:shd w:val="clear" w:color="auto" w:fill="FFFFFF"/>
        </w:rPr>
        <w:t xml:space="preserve">pominięcie 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>dowodu z treści umowy przelewu powierniczego wraz z załącznikiem, co</w:t>
      </w:r>
      <w:r w:rsidR="00D36BC1" w:rsidRPr="00F86CFA">
        <w:rPr>
          <w:rFonts w:ascii="Times New Roman" w:hAnsi="Times New Roman"/>
          <w:color w:val="000000"/>
          <w:shd w:val="clear" w:color="auto" w:fill="FFFFFF"/>
        </w:rPr>
        <w:t> 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>doprowadziło Sąd I instancji do błędnego</w:t>
      </w:r>
      <w:r w:rsidR="005F285D" w:rsidRPr="00F86CFA">
        <w:rPr>
          <w:rFonts w:ascii="Times New Roman" w:hAnsi="Times New Roman"/>
          <w:color w:val="000000"/>
          <w:shd w:val="clear" w:color="auto" w:fill="FFFFFF"/>
        </w:rPr>
        <w:t xml:space="preserve"> wniosku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 xml:space="preserve">, iż </w:t>
      </w:r>
      <w:r w:rsidR="00485BD1" w:rsidRPr="00F86CFA">
        <w:rPr>
          <w:rFonts w:ascii="Times New Roman" w:hAnsi="Times New Roman"/>
          <w:color w:val="000000"/>
          <w:shd w:val="clear" w:color="auto" w:fill="FFFFFF"/>
        </w:rPr>
        <w:t>P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>owód nie wykazał w</w:t>
      </w:r>
      <w:r w:rsidR="00D36BC1" w:rsidRPr="00F86CFA">
        <w:rPr>
          <w:rFonts w:ascii="Times New Roman" w:hAnsi="Times New Roman"/>
          <w:color w:val="000000"/>
          <w:shd w:val="clear" w:color="auto" w:fill="FFFFFF"/>
        </w:rPr>
        <w:t> 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 xml:space="preserve">sposób odpowiedni by </w:t>
      </w:r>
      <w:r w:rsidR="00485BD1" w:rsidRPr="00F86CFA">
        <w:rPr>
          <w:rFonts w:ascii="Times New Roman" w:hAnsi="Times New Roman"/>
          <w:color w:val="000000"/>
          <w:shd w:val="clear" w:color="auto" w:fill="FFFFFF"/>
        </w:rPr>
        <w:t>s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 xml:space="preserve">trona </w:t>
      </w:r>
      <w:r w:rsidR="00485BD1" w:rsidRPr="00F86CFA">
        <w:rPr>
          <w:rFonts w:ascii="Times New Roman" w:hAnsi="Times New Roman"/>
          <w:color w:val="000000"/>
          <w:shd w:val="clear" w:color="auto" w:fill="FFFFFF"/>
        </w:rPr>
        <w:t>p</w:t>
      </w:r>
      <w:r w:rsidR="00D835C7" w:rsidRPr="00F86CFA">
        <w:rPr>
          <w:rFonts w:ascii="Times New Roman" w:hAnsi="Times New Roman"/>
          <w:color w:val="000000"/>
          <w:shd w:val="clear" w:color="auto" w:fill="FFFFFF"/>
        </w:rPr>
        <w:t xml:space="preserve">owodowa 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>była czynnie legitymowana do wytoczenia niniejszego powództwa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 xml:space="preserve">podczas gdy jej </w:t>
      </w:r>
      <w:r w:rsidR="00D835C7" w:rsidRPr="00F86CFA">
        <w:rPr>
          <w:rFonts w:ascii="Times New Roman" w:hAnsi="Times New Roman"/>
          <w:color w:val="000000"/>
          <w:shd w:val="clear" w:color="auto" w:fill="FFFFFF"/>
        </w:rPr>
        <w:t>legitymacja</w:t>
      </w:r>
      <w:r w:rsidR="00485BD1" w:rsidRPr="00F86CF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84027" w:rsidRPr="00F86CFA">
        <w:rPr>
          <w:rFonts w:ascii="Times New Roman" w:hAnsi="Times New Roman"/>
          <w:color w:val="000000"/>
          <w:shd w:val="clear" w:color="auto" w:fill="FFFFFF"/>
        </w:rPr>
        <w:t xml:space="preserve">wynika z zawartej umowy </w:t>
      </w:r>
      <w:r w:rsidR="003E5876" w:rsidRPr="00F86CFA">
        <w:rPr>
          <w:rFonts w:ascii="Times New Roman" w:hAnsi="Times New Roman"/>
          <w:color w:val="000000"/>
          <w:shd w:val="clear" w:color="auto" w:fill="FFFFFF"/>
        </w:rPr>
        <w:t>przelewu</w:t>
      </w:r>
      <w:r w:rsidR="001832CA" w:rsidRPr="00F86CFA">
        <w:rPr>
          <w:rFonts w:ascii="Times New Roman" w:hAnsi="Times New Roman"/>
          <w:color w:val="000000"/>
          <w:shd w:val="clear" w:color="auto" w:fill="FFFFFF"/>
        </w:rPr>
        <w:t>;</w:t>
      </w:r>
    </w:p>
    <w:p w14:paraId="7C2B09A8" w14:textId="16BE4177" w:rsidR="00D84027" w:rsidRPr="00F86CFA" w:rsidRDefault="003E5876" w:rsidP="00E671D4">
      <w:pPr>
        <w:pStyle w:val="Akapitzlist"/>
        <w:numPr>
          <w:ilvl w:val="1"/>
          <w:numId w:val="5"/>
        </w:numPr>
        <w:rPr>
          <w:rFonts w:ascii="Times New Roman" w:hAnsi="Times New Roman"/>
        </w:rPr>
      </w:pPr>
      <w:r w:rsidRPr="00F86CFA">
        <w:rPr>
          <w:rFonts w:ascii="Times New Roman" w:hAnsi="Times New Roman"/>
          <w:color w:val="000000"/>
          <w:shd w:val="clear" w:color="auto" w:fill="FFFFFF"/>
        </w:rPr>
        <w:t>przyjęcie</w:t>
      </w:r>
      <w:r w:rsidR="00D835C7" w:rsidRPr="00F86CFA">
        <w:rPr>
          <w:rFonts w:ascii="Times New Roman" w:hAnsi="Times New Roman"/>
          <w:color w:val="000000"/>
          <w:shd w:val="clear" w:color="auto" w:fill="FFFFFF"/>
        </w:rPr>
        <w:t xml:space="preserve">, że pracownik oddziału Powoda, który w dniu 22 października 2017 r. </w:t>
      </w:r>
      <w:r w:rsidRPr="00F86CFA">
        <w:rPr>
          <w:rFonts w:ascii="Times New Roman" w:hAnsi="Times New Roman"/>
          <w:color w:val="000000"/>
          <w:shd w:val="clear" w:color="auto" w:fill="FFFFFF"/>
        </w:rPr>
        <w:t>był obecny przy zawieraniu</w:t>
      </w:r>
      <w:r w:rsidR="00CA40E8" w:rsidRPr="00F86CFA">
        <w:rPr>
          <w:rFonts w:ascii="Times New Roman" w:hAnsi="Times New Roman"/>
          <w:color w:val="000000"/>
          <w:shd w:val="clear" w:color="auto" w:fill="FFFFFF"/>
        </w:rPr>
        <w:t xml:space="preserve"> przez Pozwaną 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umowy </w:t>
      </w:r>
      <w:r w:rsidR="00CA40E8" w:rsidRPr="00F86CFA">
        <w:rPr>
          <w:rFonts w:ascii="Times New Roman" w:hAnsi="Times New Roman"/>
          <w:color w:val="000000"/>
          <w:shd w:val="clear" w:color="auto" w:fill="FFFFFF"/>
        </w:rPr>
        <w:t>poręczenia, nie przedstawił jej merytorycznych wyjaśnień co do celu i charakteru tej czynności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 oraz uznanie, że Pozwana nie posiadała wiedzy o </w:t>
      </w:r>
      <w:r w:rsidR="00B007AE" w:rsidRPr="00F86CFA">
        <w:rPr>
          <w:rFonts w:ascii="Times New Roman" w:hAnsi="Times New Roman"/>
          <w:color w:val="000000"/>
          <w:shd w:val="clear" w:color="auto" w:fill="FFFFFF"/>
        </w:rPr>
        <w:t>sytuacji finansowej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 Nowak sp. z o.o. i prowadzonej przez nią działalności, ani nie brała istotnego udziału w jej prowadzeniu, </w:t>
      </w:r>
      <w:r w:rsidR="00CA40E8" w:rsidRPr="00F86CFA">
        <w:rPr>
          <w:rFonts w:ascii="Times New Roman" w:hAnsi="Times New Roman"/>
          <w:color w:val="000000"/>
          <w:shd w:val="clear" w:color="auto" w:fill="FFFFFF"/>
        </w:rPr>
        <w:t>w oparciu wyłącznie o zeznania</w:t>
      </w:r>
      <w:r w:rsidR="00464D30" w:rsidRPr="00F86CF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007AE" w:rsidRPr="00F86CFA">
        <w:rPr>
          <w:rFonts w:ascii="Times New Roman" w:hAnsi="Times New Roman"/>
          <w:color w:val="000000"/>
          <w:shd w:val="clear" w:color="auto" w:fill="FFFFFF"/>
        </w:rPr>
        <w:t>P</w:t>
      </w:r>
      <w:r w:rsidR="00464D30" w:rsidRPr="00F86CFA">
        <w:rPr>
          <w:rFonts w:ascii="Times New Roman" w:hAnsi="Times New Roman"/>
          <w:color w:val="000000"/>
          <w:shd w:val="clear" w:color="auto" w:fill="FFFFFF"/>
        </w:rPr>
        <w:t xml:space="preserve">ozwanej Barbary Nowak oraz świadka Janusza Nowaka, 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>w</w:t>
      </w:r>
      <w:r w:rsidR="00D36BC1" w:rsidRPr="00F86CFA">
        <w:rPr>
          <w:rFonts w:ascii="Times New Roman" w:hAnsi="Times New Roman"/>
          <w:color w:val="000000"/>
          <w:shd w:val="clear" w:color="auto" w:fill="FFFFFF"/>
        </w:rPr>
        <w:t> 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>sytuacji</w:t>
      </w:r>
      <w:r w:rsidR="001832CA" w:rsidRPr="00F86CFA">
        <w:rPr>
          <w:rFonts w:ascii="Times New Roman" w:hAnsi="Times New Roman"/>
          <w:color w:val="000000"/>
          <w:shd w:val="clear" w:color="auto" w:fill="FFFFFF"/>
        </w:rPr>
        <w:t>,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 xml:space="preserve"> w której zarówno</w:t>
      </w:r>
      <w:r w:rsidR="00464D30" w:rsidRPr="00F86CF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007AE" w:rsidRPr="00F86CFA">
        <w:rPr>
          <w:rFonts w:ascii="Times New Roman" w:hAnsi="Times New Roman"/>
          <w:color w:val="000000"/>
          <w:shd w:val="clear" w:color="auto" w:fill="FFFFFF"/>
        </w:rPr>
        <w:t>P</w:t>
      </w:r>
      <w:r w:rsidR="00464D30" w:rsidRPr="00F86CFA">
        <w:rPr>
          <w:rFonts w:ascii="Times New Roman" w:hAnsi="Times New Roman"/>
          <w:color w:val="000000"/>
          <w:shd w:val="clear" w:color="auto" w:fill="FFFFFF"/>
        </w:rPr>
        <w:t xml:space="preserve">ozwana, jak i świadek pozostawali osobiście 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>zainteresowani uzyskaniem korzystnego rozstrzygnięcia sądu, a w konsekwencji posiadali interes w składaniu zeznań niekorzystnych dla Powoda</w:t>
      </w:r>
      <w:r w:rsidR="00126272" w:rsidRPr="00F86CFA">
        <w:rPr>
          <w:rFonts w:ascii="Times New Roman" w:hAnsi="Times New Roman"/>
          <w:color w:val="000000"/>
          <w:shd w:val="clear" w:color="auto" w:fill="FFFFFF"/>
        </w:rPr>
        <w:t>;</w:t>
      </w:r>
    </w:p>
    <w:p w14:paraId="075A6704" w14:textId="60FD9B3A" w:rsidR="00D125DB" w:rsidRPr="00F86CFA" w:rsidRDefault="00CA40E8" w:rsidP="00E671D4">
      <w:pPr>
        <w:pStyle w:val="Akapitzlist"/>
        <w:numPr>
          <w:ilvl w:val="1"/>
          <w:numId w:val="5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>przyjęcie, że Pozwana udzieliła poręczenia będąc w stanie wyłączającym możliwość świadomego i swobodnego</w:t>
      </w:r>
      <w:r w:rsidR="00A8134B" w:rsidRPr="00F86CFA">
        <w:rPr>
          <w:rFonts w:ascii="Times New Roman" w:hAnsi="Times New Roman"/>
        </w:rPr>
        <w:t xml:space="preserve"> podjęcia decyzji oraz</w:t>
      </w:r>
      <w:r w:rsidRPr="00F86CFA">
        <w:rPr>
          <w:rFonts w:ascii="Times New Roman" w:hAnsi="Times New Roman"/>
        </w:rPr>
        <w:t xml:space="preserve"> wyrażenia woli, w sytuacji, gdy żaden z elementów materiału dowodowego nie </w:t>
      </w:r>
      <w:r w:rsidR="00D125DB" w:rsidRPr="00F86CFA">
        <w:rPr>
          <w:rFonts w:ascii="Times New Roman" w:hAnsi="Times New Roman"/>
        </w:rPr>
        <w:t>uzasadnia takiej konstatacji;</w:t>
      </w:r>
    </w:p>
    <w:p w14:paraId="4F7A0793" w14:textId="366B746E" w:rsidR="00697F73" w:rsidRPr="00F86CFA" w:rsidRDefault="00D125DB" w:rsidP="00E671D4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</w:rPr>
        <w:t>art. 230 k.p.c., poprzez uznanie za bezsporne między Stronami okoliczności zwią</w:t>
      </w:r>
      <w:r w:rsidR="00D36BC1" w:rsidRPr="00F86CFA">
        <w:rPr>
          <w:rFonts w:ascii="Times New Roman" w:hAnsi="Times New Roman"/>
        </w:rPr>
        <w:t>za</w:t>
      </w:r>
      <w:r w:rsidR="00A8134B" w:rsidRPr="00F86CFA">
        <w:rPr>
          <w:rFonts w:ascii="Times New Roman" w:hAnsi="Times New Roman"/>
        </w:rPr>
        <w:t xml:space="preserve">nych </w:t>
      </w:r>
      <w:r w:rsidR="00D875F4" w:rsidRPr="00F86CFA">
        <w:rPr>
          <w:rFonts w:ascii="Times New Roman" w:hAnsi="Times New Roman"/>
        </w:rPr>
        <w:t>z</w:t>
      </w:r>
      <w:r w:rsidR="00D36BC1" w:rsidRPr="00F86CFA">
        <w:rPr>
          <w:rFonts w:ascii="Times New Roman" w:hAnsi="Times New Roman"/>
        </w:rPr>
        <w:t> </w:t>
      </w:r>
      <w:r w:rsidR="00D875F4" w:rsidRPr="00F86CFA">
        <w:rPr>
          <w:rFonts w:ascii="Times New Roman" w:hAnsi="Times New Roman"/>
        </w:rPr>
        <w:t>zachowaniem pracownika oddziału Powoda w dniu 22 października 2017 r. podczas zawierania przez Pozwaną umowy poręczenia, w sytuacji, gd</w:t>
      </w:r>
      <w:r w:rsidR="00F86CFA" w:rsidRPr="00F86CFA">
        <w:rPr>
          <w:rFonts w:ascii="Times New Roman" w:hAnsi="Times New Roman"/>
        </w:rPr>
        <w:t>y Powód, na rozprawie w dniu 11 </w:t>
      </w:r>
      <w:r w:rsidR="00D875F4" w:rsidRPr="00F86CFA">
        <w:rPr>
          <w:rFonts w:ascii="Times New Roman" w:hAnsi="Times New Roman"/>
        </w:rPr>
        <w:t xml:space="preserve">czerwca 2019 r., zaprzeczył twierdzeniom </w:t>
      </w:r>
      <w:r w:rsidR="00485BD1" w:rsidRPr="00F86CFA">
        <w:rPr>
          <w:rFonts w:ascii="Times New Roman" w:hAnsi="Times New Roman"/>
        </w:rPr>
        <w:t>s</w:t>
      </w:r>
      <w:r w:rsidR="00D875F4" w:rsidRPr="00F86CFA">
        <w:rPr>
          <w:rFonts w:ascii="Times New Roman" w:hAnsi="Times New Roman"/>
        </w:rPr>
        <w:t xml:space="preserve">trony </w:t>
      </w:r>
      <w:r w:rsidR="00485BD1" w:rsidRPr="00F86CFA">
        <w:rPr>
          <w:rFonts w:ascii="Times New Roman" w:hAnsi="Times New Roman"/>
        </w:rPr>
        <w:t>p</w:t>
      </w:r>
      <w:r w:rsidR="00D875F4" w:rsidRPr="00F86CFA">
        <w:rPr>
          <w:rFonts w:ascii="Times New Roman" w:hAnsi="Times New Roman"/>
        </w:rPr>
        <w:t>owodowej w tym przedmiocie, co zostało uwidocznione w protokole (k. 24)</w:t>
      </w:r>
      <w:r w:rsidR="00BB4098" w:rsidRPr="00F86CFA">
        <w:rPr>
          <w:rFonts w:ascii="Times New Roman" w:hAnsi="Times New Roman"/>
        </w:rPr>
        <w:t>.</w:t>
      </w:r>
    </w:p>
    <w:p w14:paraId="543A32DA" w14:textId="77777777" w:rsidR="00E671D4" w:rsidRPr="00F86CFA" w:rsidRDefault="00E671D4" w:rsidP="00E671D4">
      <w:pPr>
        <w:pStyle w:val="Akapitzlist"/>
        <w:ind w:firstLine="0"/>
        <w:rPr>
          <w:rFonts w:ascii="Times New Roman" w:hAnsi="Times New Roman"/>
          <w:b/>
          <w:bCs/>
        </w:rPr>
      </w:pPr>
    </w:p>
    <w:p w14:paraId="1A1E62F3" w14:textId="77777777" w:rsidR="00D84027" w:rsidRPr="00F86CFA" w:rsidRDefault="00D84027" w:rsidP="004B4C0E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bCs/>
        </w:rPr>
        <w:t xml:space="preserve">Naruszenie prawa materialnego, to jest: </w:t>
      </w:r>
    </w:p>
    <w:p w14:paraId="1AC6D3EE" w14:textId="77777777" w:rsidR="00D84027" w:rsidRPr="00F86CFA" w:rsidRDefault="00D84027" w:rsidP="00D84027">
      <w:pPr>
        <w:ind w:left="0" w:firstLine="0"/>
        <w:rPr>
          <w:b/>
          <w:bCs/>
          <w:sz w:val="22"/>
          <w:szCs w:val="22"/>
        </w:rPr>
      </w:pPr>
    </w:p>
    <w:p w14:paraId="58BD0828" w14:textId="1EE5EED0" w:rsidR="00D84027" w:rsidRPr="00F86CFA" w:rsidRDefault="00D84027" w:rsidP="00D84027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color w:val="000000"/>
        </w:rPr>
        <w:t>art. 3 ust. 1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 rozporządzenia Parlamentu Europejskiego i </w:t>
      </w:r>
      <w:r w:rsidR="00E671D4" w:rsidRPr="00F86CFA">
        <w:rPr>
          <w:rFonts w:ascii="Times New Roman" w:hAnsi="Times New Roman"/>
          <w:color w:val="000000"/>
          <w:shd w:val="clear" w:color="auto" w:fill="FFFFFF"/>
        </w:rPr>
        <w:t>Rady (UE) nr 593/2008 z dnia 17 </w:t>
      </w:r>
      <w:r w:rsidRPr="00F86CFA">
        <w:rPr>
          <w:rFonts w:ascii="Times New Roman" w:hAnsi="Times New Roman"/>
          <w:color w:val="000000"/>
          <w:shd w:val="clear" w:color="auto" w:fill="FFFFFF"/>
        </w:rPr>
        <w:t>czerwca 2008 r. w sprawie prawa właściwego dla zobowiązań umownych (</w:t>
      </w:r>
      <w:r w:rsidR="00F82D08" w:rsidRPr="00F86CFA">
        <w:rPr>
          <w:rFonts w:ascii="Times New Roman" w:hAnsi="Times New Roman"/>
          <w:color w:val="000000"/>
          <w:shd w:val="clear" w:color="auto" w:fill="FFFFFF"/>
        </w:rPr>
        <w:t>dalej: „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 xml:space="preserve">rozporządzenie </w:t>
      </w:r>
      <w:r w:rsidRPr="00F86CFA">
        <w:rPr>
          <w:rFonts w:ascii="Times New Roman" w:hAnsi="Times New Roman"/>
          <w:color w:val="000000"/>
          <w:shd w:val="clear" w:color="auto" w:fill="FFFFFF"/>
        </w:rPr>
        <w:t>Rzym I</w:t>
      </w:r>
      <w:r w:rsidR="00F82D08" w:rsidRPr="00F86CFA">
        <w:rPr>
          <w:rFonts w:ascii="Times New Roman" w:hAnsi="Times New Roman"/>
          <w:color w:val="000000"/>
          <w:shd w:val="clear" w:color="auto" w:fill="FFFFFF"/>
        </w:rPr>
        <w:t>”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) poprzez jego niezastosowanie i uznanie, </w:t>
      </w:r>
      <w:r w:rsidR="00D36BC1" w:rsidRPr="00F86CFA">
        <w:rPr>
          <w:rFonts w:ascii="Times New Roman" w:hAnsi="Times New Roman"/>
          <w:color w:val="000000"/>
          <w:shd w:val="clear" w:color="auto" w:fill="FFFFFF"/>
        </w:rPr>
        <w:t>że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 do umowy poręczenia oraz oświadczenia </w:t>
      </w:r>
      <w:r w:rsidR="00BB4098" w:rsidRPr="00F86CFA">
        <w:rPr>
          <w:rFonts w:ascii="Times New Roman" w:hAnsi="Times New Roman"/>
          <w:color w:val="000000"/>
          <w:shd w:val="clear" w:color="auto" w:fill="FFFFFF"/>
        </w:rPr>
        <w:t>P</w:t>
      </w:r>
      <w:r w:rsidRPr="00F86CFA">
        <w:rPr>
          <w:rFonts w:ascii="Times New Roman" w:hAnsi="Times New Roman"/>
          <w:color w:val="000000"/>
          <w:shd w:val="clear" w:color="auto" w:fill="FFFFFF"/>
        </w:rPr>
        <w:t>ozwanej o odstąpieniu od umowy zastosowanie mają przepisy prawa polskiego</w:t>
      </w:r>
      <w:r w:rsidR="00D36BC1" w:rsidRPr="00F86CFA">
        <w:rPr>
          <w:rFonts w:ascii="Times New Roman" w:hAnsi="Times New Roman"/>
          <w:color w:val="000000"/>
          <w:shd w:val="clear" w:color="auto" w:fill="FFFFFF"/>
        </w:rPr>
        <w:t>;</w:t>
      </w:r>
    </w:p>
    <w:p w14:paraId="5D24E10B" w14:textId="6AC6DB64" w:rsidR="00697F73" w:rsidRPr="00F86CFA" w:rsidRDefault="00697F73" w:rsidP="009414C6">
      <w:pPr>
        <w:pStyle w:val="Akapitzlist"/>
        <w:numPr>
          <w:ilvl w:val="0"/>
          <w:numId w:val="4"/>
        </w:numPr>
        <w:ind w:left="1418" w:hanging="284"/>
        <w:rPr>
          <w:rFonts w:ascii="Times New Roman" w:hAnsi="Times New Roman"/>
        </w:rPr>
      </w:pPr>
      <w:r w:rsidRPr="00F86CFA">
        <w:rPr>
          <w:rFonts w:ascii="Times New Roman" w:hAnsi="Times New Roman"/>
          <w:color w:val="000000"/>
          <w:shd w:val="clear" w:color="auto" w:fill="FFFFFF"/>
        </w:rPr>
        <w:t xml:space="preserve">ewentualnie na wypadek uznania, że </w:t>
      </w:r>
      <w:r w:rsidR="00BB4098" w:rsidRPr="00F86CFA">
        <w:rPr>
          <w:rFonts w:ascii="Times New Roman" w:hAnsi="Times New Roman"/>
          <w:color w:val="000000"/>
          <w:shd w:val="clear" w:color="auto" w:fill="FFFFFF"/>
        </w:rPr>
        <w:t>P</w:t>
      </w:r>
      <w:r w:rsidRPr="00F86CFA">
        <w:rPr>
          <w:rFonts w:ascii="Times New Roman" w:hAnsi="Times New Roman"/>
          <w:color w:val="000000"/>
          <w:shd w:val="clear" w:color="auto" w:fill="FFFFFF"/>
        </w:rPr>
        <w:t>ozwan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>ej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 zawierając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>ej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 umowę 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>poręczenia przysługiwała ochrona na podstawie art. 6 ust. 2 rozporządze</w:t>
      </w:r>
      <w:r w:rsidR="001832CA" w:rsidRPr="00F86CFA">
        <w:rPr>
          <w:rFonts w:ascii="Times New Roman" w:hAnsi="Times New Roman"/>
          <w:color w:val="000000"/>
          <w:shd w:val="clear" w:color="auto" w:fill="FFFFFF"/>
        </w:rPr>
        <w:t>nia Rzym I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>,</w:t>
      </w:r>
      <w:r w:rsidR="001832CA" w:rsidRPr="00F86CF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86CFA" w:rsidRPr="00F86CFA">
        <w:rPr>
          <w:rFonts w:ascii="Times New Roman" w:hAnsi="Times New Roman"/>
          <w:color w:val="000000"/>
          <w:shd w:val="clear" w:color="auto" w:fill="FFFFFF"/>
        </w:rPr>
        <w:t>naruszenie art. 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 xml:space="preserve">6 ust. 2 rozporządzenia Rzym I poprzez jego niezastosowanie i uznanie, </w:t>
      </w:r>
      <w:r w:rsidR="00D36BC1" w:rsidRPr="00F86CFA">
        <w:rPr>
          <w:rFonts w:ascii="Times New Roman" w:hAnsi="Times New Roman"/>
          <w:color w:val="000000"/>
          <w:shd w:val="clear" w:color="auto" w:fill="FFFFFF"/>
        </w:rPr>
        <w:t>że</w:t>
      </w:r>
      <w:r w:rsidR="009414C6" w:rsidRPr="00F86CFA">
        <w:rPr>
          <w:rFonts w:ascii="Times New Roman" w:hAnsi="Times New Roman"/>
          <w:color w:val="000000"/>
          <w:shd w:val="clear" w:color="auto" w:fill="FFFFFF"/>
        </w:rPr>
        <w:t xml:space="preserve"> do umowy poręczenia oraz oświadczenia pozwanej o odstąpieniu od umowy zastosowanie mają przepisy prawa polskiego</w:t>
      </w:r>
      <w:r w:rsidR="00D36BC1" w:rsidRPr="00F86CFA">
        <w:rPr>
          <w:rFonts w:ascii="Times New Roman" w:hAnsi="Times New Roman"/>
          <w:color w:val="000000"/>
          <w:shd w:val="clear" w:color="auto" w:fill="FFFFFF"/>
        </w:rPr>
        <w:t>;</w:t>
      </w:r>
    </w:p>
    <w:p w14:paraId="66EED74C" w14:textId="252FD5EA" w:rsidR="00D84027" w:rsidRPr="00F86CFA" w:rsidRDefault="00D84027" w:rsidP="00D84027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 xml:space="preserve">art. 12 ust. 1 pkt a i b 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rozporządzenia Rzym I poprzez jego niezastosowanie i uznanie, </w:t>
      </w:r>
      <w:r w:rsidR="00D36BC1" w:rsidRPr="00F86CFA">
        <w:rPr>
          <w:rFonts w:ascii="Times New Roman" w:hAnsi="Times New Roman"/>
          <w:color w:val="000000"/>
          <w:shd w:val="clear" w:color="auto" w:fill="FFFFFF"/>
        </w:rPr>
        <w:t>że </w:t>
      </w:r>
      <w:r w:rsidRPr="00F86CFA">
        <w:rPr>
          <w:rFonts w:ascii="Times New Roman" w:hAnsi="Times New Roman"/>
          <w:color w:val="000000"/>
          <w:shd w:val="clear" w:color="auto" w:fill="FFFFFF"/>
        </w:rPr>
        <w:t>umowę poręczenia należy wykładać zgodnie z prawem polskim, a dla jej wykonywania relewantne jest prawo polskie, podczas gdy zarówno wykładnia jak i ocena wykonywania wynikających z niej zobowiązań powinna być dokonywana na podstawie prawa niemieckiego</w:t>
      </w:r>
      <w:r w:rsidR="00D36BC1" w:rsidRPr="00F86CFA">
        <w:rPr>
          <w:rFonts w:ascii="Times New Roman" w:hAnsi="Times New Roman"/>
          <w:color w:val="000000"/>
          <w:shd w:val="clear" w:color="auto" w:fill="FFFFFF"/>
        </w:rPr>
        <w:t>;</w:t>
      </w:r>
    </w:p>
    <w:p w14:paraId="44307405" w14:textId="4BD55F81" w:rsidR="00E54D88" w:rsidRPr="00F86CFA" w:rsidRDefault="00E54D88" w:rsidP="00E54D8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 xml:space="preserve">art. 65 </w:t>
      </w:r>
      <w:r w:rsidRPr="00F86CFA">
        <w:rPr>
          <w:rFonts w:ascii="Times New Roman" w:hAnsi="Times New Roman"/>
          <w:color w:val="000000"/>
        </w:rPr>
        <w:t>§ 1 k.c. poprzez jego błędne zastosowanie polegające na wykładni umo</w:t>
      </w:r>
      <w:r w:rsidR="00F86CFA" w:rsidRPr="00F86CFA">
        <w:rPr>
          <w:rFonts w:ascii="Times New Roman" w:hAnsi="Times New Roman"/>
          <w:color w:val="000000"/>
        </w:rPr>
        <w:t>wy poręczenia w </w:t>
      </w:r>
      <w:r w:rsidRPr="00F86CFA">
        <w:rPr>
          <w:rFonts w:ascii="Times New Roman" w:hAnsi="Times New Roman"/>
          <w:color w:val="000000"/>
        </w:rPr>
        <w:t>oparciu o prawo polskie, podczas gdy strony dokonały wyboru prawa właściwego w</w:t>
      </w:r>
      <w:r w:rsidR="00E671D4" w:rsidRPr="00F86CFA">
        <w:rPr>
          <w:rFonts w:ascii="Times New Roman" w:hAnsi="Times New Roman"/>
          <w:color w:val="000000"/>
        </w:rPr>
        <w:t> </w:t>
      </w:r>
      <w:r w:rsidRPr="00F86CFA">
        <w:rPr>
          <w:rFonts w:ascii="Times New Roman" w:hAnsi="Times New Roman"/>
          <w:color w:val="000000"/>
        </w:rPr>
        <w:t>oparciu o art. 3 ust. 1</w:t>
      </w:r>
      <w:r w:rsidRPr="00F86CFA">
        <w:rPr>
          <w:rFonts w:ascii="Times New Roman" w:hAnsi="Times New Roman"/>
          <w:color w:val="000000"/>
          <w:shd w:val="clear" w:color="auto" w:fill="FFFFFF"/>
        </w:rPr>
        <w:t xml:space="preserve"> rozporządzenia Rzym I, a tym samym czynność powinna zostać wyłożona zgodnie z</w:t>
      </w:r>
      <w:r w:rsidRPr="00F86CFA">
        <w:rPr>
          <w:rFonts w:ascii="Times New Roman" w:hAnsi="Times New Roman"/>
          <w:color w:val="000000"/>
        </w:rPr>
        <w:t xml:space="preserve"> § 157 niemieckiego kodeksu cywilnego (BGB)</w:t>
      </w:r>
      <w:r w:rsidR="00D36BC1" w:rsidRPr="00F86CFA">
        <w:rPr>
          <w:rFonts w:ascii="Times New Roman" w:hAnsi="Times New Roman"/>
          <w:color w:val="000000"/>
        </w:rPr>
        <w:t>;</w:t>
      </w:r>
    </w:p>
    <w:p w14:paraId="73C6669B" w14:textId="21CDE186" w:rsidR="00D84027" w:rsidRPr="00F86CFA" w:rsidRDefault="00D84027" w:rsidP="00D84027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lastRenderedPageBreak/>
        <w:t xml:space="preserve">art. 58 </w:t>
      </w:r>
      <w:r w:rsidRPr="00F86CFA">
        <w:rPr>
          <w:rFonts w:ascii="Times New Roman" w:hAnsi="Times New Roman"/>
          <w:color w:val="000000"/>
        </w:rPr>
        <w:t xml:space="preserve">§ 1 k.c. oraz </w:t>
      </w:r>
      <w:r w:rsidRPr="00F86CFA">
        <w:rPr>
          <w:rFonts w:ascii="Times New Roman" w:hAnsi="Times New Roman"/>
        </w:rPr>
        <w:t xml:space="preserve">art. 58 </w:t>
      </w:r>
      <w:r w:rsidRPr="00F86CFA">
        <w:rPr>
          <w:rFonts w:ascii="Times New Roman" w:hAnsi="Times New Roman"/>
          <w:color w:val="000000"/>
        </w:rPr>
        <w:t>§ 2 k.c</w:t>
      </w:r>
      <w:r w:rsidR="00E54D88" w:rsidRPr="00F86CFA">
        <w:rPr>
          <w:rFonts w:ascii="Times New Roman" w:hAnsi="Times New Roman"/>
          <w:color w:val="000000"/>
        </w:rPr>
        <w:t>.</w:t>
      </w:r>
      <w:r w:rsidRPr="00F86CFA">
        <w:rPr>
          <w:rFonts w:ascii="Times New Roman" w:hAnsi="Times New Roman"/>
          <w:color w:val="000000"/>
        </w:rPr>
        <w:t xml:space="preserve"> poprzez jego błędne zastosowanie i stwierdzenie nieważności poręczenia udzielonego przez </w:t>
      </w:r>
      <w:r w:rsidR="00BB4098" w:rsidRPr="00F86CFA">
        <w:rPr>
          <w:rFonts w:ascii="Times New Roman" w:hAnsi="Times New Roman"/>
          <w:color w:val="000000"/>
        </w:rPr>
        <w:t>P</w:t>
      </w:r>
      <w:r w:rsidRPr="00F86CFA">
        <w:rPr>
          <w:rFonts w:ascii="Times New Roman" w:hAnsi="Times New Roman"/>
          <w:color w:val="000000"/>
        </w:rPr>
        <w:t xml:space="preserve">ozwaną, podczas gdy czynność prawna podlegała prawu niemieckiemu oraz nie ziściły się okoliczności przewidziane w § 134 i </w:t>
      </w:r>
      <w:r w:rsidR="00D36BC1" w:rsidRPr="00F86CFA">
        <w:rPr>
          <w:rFonts w:ascii="Times New Roman" w:hAnsi="Times New Roman"/>
          <w:color w:val="000000"/>
        </w:rPr>
        <w:t xml:space="preserve">§ </w:t>
      </w:r>
      <w:r w:rsidRPr="00F86CFA">
        <w:rPr>
          <w:rFonts w:ascii="Times New Roman" w:hAnsi="Times New Roman"/>
          <w:color w:val="000000"/>
        </w:rPr>
        <w:t>138 niemieckiego kodeksu cywilnego</w:t>
      </w:r>
      <w:r w:rsidR="00E671D4" w:rsidRPr="00F86CFA">
        <w:rPr>
          <w:rFonts w:ascii="Times New Roman" w:hAnsi="Times New Roman"/>
          <w:color w:val="000000"/>
        </w:rPr>
        <w:t xml:space="preserve"> (BGB)</w:t>
      </w:r>
      <w:r w:rsidRPr="00F86CFA">
        <w:rPr>
          <w:rFonts w:ascii="Times New Roman" w:hAnsi="Times New Roman"/>
          <w:color w:val="000000"/>
        </w:rPr>
        <w:t>, a zatem czynność jest ważna, skuteczna i wywołuje skutki prawne</w:t>
      </w:r>
      <w:r w:rsidR="00D36BC1" w:rsidRPr="00F86CFA">
        <w:rPr>
          <w:rFonts w:ascii="Times New Roman" w:hAnsi="Times New Roman"/>
          <w:color w:val="000000"/>
        </w:rPr>
        <w:t>;</w:t>
      </w:r>
    </w:p>
    <w:p w14:paraId="52A61394" w14:textId="7251A2D3" w:rsidR="00D84027" w:rsidRPr="00F86CFA" w:rsidRDefault="00D84027" w:rsidP="00D84027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 xml:space="preserve">art. 65 </w:t>
      </w:r>
      <w:r w:rsidRPr="00F86CFA">
        <w:rPr>
          <w:rFonts w:ascii="Times New Roman" w:hAnsi="Times New Roman"/>
          <w:color w:val="000000"/>
        </w:rPr>
        <w:t>§ 2 k.c. poprzez jego niezastosowanie do oceny skutków zawartej umowy przelewu powierniczego, podczas gdy zgodnym zamia</w:t>
      </w:r>
      <w:r w:rsidR="001832CA" w:rsidRPr="00F86CFA">
        <w:rPr>
          <w:rFonts w:ascii="Times New Roman" w:hAnsi="Times New Roman"/>
          <w:color w:val="000000"/>
        </w:rPr>
        <w:t xml:space="preserve">rem stron i celem umowy był </w:t>
      </w:r>
      <w:proofErr w:type="spellStart"/>
      <w:r w:rsidR="001832CA" w:rsidRPr="00F86CFA">
        <w:rPr>
          <w:rFonts w:ascii="Times New Roman" w:hAnsi="Times New Roman"/>
          <w:color w:val="000000"/>
        </w:rPr>
        <w:t>fid</w:t>
      </w:r>
      <w:r w:rsidRPr="00F86CFA">
        <w:rPr>
          <w:rFonts w:ascii="Times New Roman" w:hAnsi="Times New Roman"/>
          <w:color w:val="000000"/>
        </w:rPr>
        <w:t>ucjarny</w:t>
      </w:r>
      <w:proofErr w:type="spellEnd"/>
      <w:r w:rsidRPr="00F86CFA">
        <w:rPr>
          <w:rFonts w:ascii="Times New Roman" w:hAnsi="Times New Roman"/>
          <w:color w:val="000000"/>
        </w:rPr>
        <w:t xml:space="preserve"> przelew wierzytelności banku na rzecz </w:t>
      </w:r>
      <w:r w:rsidR="00BB4098" w:rsidRPr="00F86CFA">
        <w:rPr>
          <w:rFonts w:ascii="Times New Roman" w:hAnsi="Times New Roman"/>
          <w:color w:val="000000"/>
        </w:rPr>
        <w:t>P</w:t>
      </w:r>
      <w:r w:rsidRPr="00F86CFA">
        <w:rPr>
          <w:rFonts w:ascii="Times New Roman" w:hAnsi="Times New Roman"/>
          <w:color w:val="000000"/>
        </w:rPr>
        <w:t>owódki wraz z upoważnieniem do dochodzenia wierzytelności objętych przelewem, a prawem właściwym dla oceny i wykładni umowy pozostawało prawo polskie, zgodnie z wyborem prawa dokonanym przez strony</w:t>
      </w:r>
      <w:r w:rsidR="00D36BC1" w:rsidRPr="00F86CFA">
        <w:rPr>
          <w:rFonts w:ascii="Times New Roman" w:hAnsi="Times New Roman"/>
          <w:color w:val="000000"/>
        </w:rPr>
        <w:t>;</w:t>
      </w:r>
    </w:p>
    <w:p w14:paraId="66614A87" w14:textId="74FC39D8" w:rsidR="001832CA" w:rsidRPr="00F86CFA" w:rsidRDefault="001832CA" w:rsidP="00D84027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 xml:space="preserve">art. </w:t>
      </w:r>
      <w:r w:rsidR="00643CEA" w:rsidRPr="00F86CFA">
        <w:rPr>
          <w:rFonts w:ascii="Times New Roman" w:hAnsi="Times New Roman"/>
        </w:rPr>
        <w:t xml:space="preserve">88 § 1 k.c. </w:t>
      </w:r>
      <w:r w:rsidRPr="00F86CFA">
        <w:rPr>
          <w:rFonts w:ascii="Times New Roman" w:hAnsi="Times New Roman"/>
        </w:rPr>
        <w:t xml:space="preserve">poprzez jego błędne zastosowanie, a tym samym przyjęcie, </w:t>
      </w:r>
      <w:r w:rsidR="00D36BC1" w:rsidRPr="00F86CFA">
        <w:rPr>
          <w:rFonts w:ascii="Times New Roman" w:hAnsi="Times New Roman"/>
        </w:rPr>
        <w:t>że</w:t>
      </w:r>
      <w:r w:rsidRPr="00F86CFA">
        <w:rPr>
          <w:rFonts w:ascii="Times New Roman" w:hAnsi="Times New Roman"/>
        </w:rPr>
        <w:t xml:space="preserve"> </w:t>
      </w:r>
      <w:r w:rsidR="00BB4098" w:rsidRPr="00F86CFA">
        <w:rPr>
          <w:rFonts w:ascii="Times New Roman" w:hAnsi="Times New Roman"/>
        </w:rPr>
        <w:t>P</w:t>
      </w:r>
      <w:r w:rsidRPr="00F86CFA">
        <w:rPr>
          <w:rFonts w:ascii="Times New Roman" w:hAnsi="Times New Roman"/>
        </w:rPr>
        <w:t xml:space="preserve">ozwana uchyliła się od skutków złożonego oświadczenia, podczas gdy brak było przesłanek </w:t>
      </w:r>
      <w:r w:rsidR="005F285D" w:rsidRPr="00F86CFA">
        <w:rPr>
          <w:rFonts w:ascii="Times New Roman" w:hAnsi="Times New Roman"/>
        </w:rPr>
        <w:t xml:space="preserve">uprawniających </w:t>
      </w:r>
      <w:r w:rsidRPr="00F86CFA">
        <w:rPr>
          <w:rFonts w:ascii="Times New Roman" w:hAnsi="Times New Roman"/>
        </w:rPr>
        <w:t>do złożenia skutecznego oświadczenia o uchyleniu się od skutków oświadczen</w:t>
      </w:r>
      <w:r w:rsidR="00E671D4" w:rsidRPr="00F86CFA">
        <w:rPr>
          <w:rFonts w:ascii="Times New Roman" w:hAnsi="Times New Roman"/>
        </w:rPr>
        <w:t>ia woli oraz przekroczono termin,</w:t>
      </w:r>
      <w:r w:rsidRPr="00F86CFA">
        <w:rPr>
          <w:rFonts w:ascii="Times New Roman" w:hAnsi="Times New Roman"/>
        </w:rPr>
        <w:t xml:space="preserve"> w którym mogłaby dokonać podobnej czynności na gruncie prawa właściwego, tj. prawa niemieckiego</w:t>
      </w:r>
      <w:r w:rsidR="0091389D" w:rsidRPr="00F86CFA">
        <w:rPr>
          <w:rFonts w:ascii="Times New Roman" w:hAnsi="Times New Roman"/>
        </w:rPr>
        <w:t xml:space="preserve"> § 121 w zw</w:t>
      </w:r>
      <w:r w:rsidR="00D36BC1" w:rsidRPr="00F86CFA">
        <w:rPr>
          <w:rFonts w:ascii="Times New Roman" w:hAnsi="Times New Roman"/>
        </w:rPr>
        <w:t>.</w:t>
      </w:r>
      <w:r w:rsidR="0091389D" w:rsidRPr="00F86CFA">
        <w:rPr>
          <w:rFonts w:ascii="Times New Roman" w:hAnsi="Times New Roman"/>
        </w:rPr>
        <w:t xml:space="preserve"> z § 119 niemieckiego kodeksu cywilnego</w:t>
      </w:r>
      <w:r w:rsidR="00E671D4" w:rsidRPr="00F86CFA">
        <w:rPr>
          <w:rFonts w:ascii="Times New Roman" w:hAnsi="Times New Roman"/>
        </w:rPr>
        <w:t xml:space="preserve"> (BGB)</w:t>
      </w:r>
      <w:r w:rsidR="00D36BC1" w:rsidRPr="00F86CFA">
        <w:rPr>
          <w:rFonts w:ascii="Times New Roman" w:hAnsi="Times New Roman"/>
        </w:rPr>
        <w:t>;</w:t>
      </w:r>
    </w:p>
    <w:p w14:paraId="005B6148" w14:textId="2E76E227" w:rsidR="001832CA" w:rsidRPr="00F86CFA" w:rsidRDefault="00D70D67" w:rsidP="00D84027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>art. 509 § 2 k.c. poprzez jego niezastosowanie do oceny skutków umowy przelewu powierniczego i przyjęcie, że nie doprowadziła ona do wstąpienia Powoda w prawa wierzyciela z umowy poręczenia zawartej przez HB Bank z Pozwaną, podczas gdy przejście wierzytelności z umowy poręczenia na Powoda wynika z faktu,</w:t>
      </w:r>
      <w:r w:rsidR="00F86CFA" w:rsidRPr="00F86CFA">
        <w:rPr>
          <w:rFonts w:ascii="Times New Roman" w:hAnsi="Times New Roman"/>
        </w:rPr>
        <w:t xml:space="preserve"> że jest ona prawem związanym z </w:t>
      </w:r>
      <w:r w:rsidRPr="00F86CFA">
        <w:rPr>
          <w:rFonts w:ascii="Times New Roman" w:hAnsi="Times New Roman"/>
        </w:rPr>
        <w:t>wierzytelnościami przysługującymi wobec Nowak sp. z o.o.</w:t>
      </w:r>
      <w:r w:rsidR="00212E91" w:rsidRPr="00F86CFA">
        <w:rPr>
          <w:rFonts w:ascii="Times New Roman" w:hAnsi="Times New Roman"/>
        </w:rPr>
        <w:t xml:space="preserve"> i z tego względu również była objęta umową przelewu.</w:t>
      </w:r>
    </w:p>
    <w:p w14:paraId="44D58D17" w14:textId="7F0915E6" w:rsidR="00697F73" w:rsidRPr="00F86CFA" w:rsidRDefault="00697F73" w:rsidP="00F0688E">
      <w:pPr>
        <w:ind w:left="0" w:firstLine="0"/>
        <w:rPr>
          <w:sz w:val="22"/>
          <w:szCs w:val="22"/>
        </w:rPr>
      </w:pPr>
    </w:p>
    <w:p w14:paraId="081141FB" w14:textId="77777777" w:rsidR="00210D36" w:rsidRPr="00F86CFA" w:rsidRDefault="00210D36" w:rsidP="00210D36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W oparciu sformułowane powyżej zarzuty:</w:t>
      </w:r>
    </w:p>
    <w:p w14:paraId="02B1BB93" w14:textId="1A9A17C9" w:rsidR="00210D36" w:rsidRPr="00F86CFA" w:rsidRDefault="00210D36" w:rsidP="00210D36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 xml:space="preserve"> na podstawie art. 386 § 1 w zw. z art. 368 § 1 pkt 5 k.p.c. wnoszę o zmianę zaskarżonego wyroku w całości </w:t>
      </w:r>
      <w:r w:rsidR="005C3A63" w:rsidRPr="00F86CFA">
        <w:rPr>
          <w:rFonts w:ascii="Times New Roman" w:hAnsi="Times New Roman"/>
        </w:rPr>
        <w:t>poprzez</w:t>
      </w:r>
      <w:r w:rsidR="000B009A" w:rsidRPr="00F86CFA">
        <w:rPr>
          <w:rFonts w:ascii="Times New Roman" w:hAnsi="Times New Roman"/>
        </w:rPr>
        <w:t xml:space="preserve"> </w:t>
      </w:r>
      <w:r w:rsidRPr="00F86CFA">
        <w:rPr>
          <w:rFonts w:ascii="Times New Roman" w:hAnsi="Times New Roman"/>
        </w:rPr>
        <w:t>utrzymanie nakazu zapłaty z dnia 15 listopada 2018 r.</w:t>
      </w:r>
      <w:r w:rsidR="00212E91" w:rsidRPr="00F86CFA">
        <w:rPr>
          <w:rFonts w:ascii="Times New Roman" w:hAnsi="Times New Roman"/>
        </w:rPr>
        <w:t>;</w:t>
      </w:r>
    </w:p>
    <w:p w14:paraId="69E55DCE" w14:textId="77777777" w:rsidR="00485BD1" w:rsidRPr="00F86CFA" w:rsidRDefault="00210D36" w:rsidP="00E671D4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 xml:space="preserve">zasądzenie od </w:t>
      </w:r>
      <w:r w:rsidR="001832CA" w:rsidRPr="00F86CFA">
        <w:rPr>
          <w:rFonts w:ascii="Times New Roman" w:hAnsi="Times New Roman"/>
        </w:rPr>
        <w:t>pozwanego na rzecz p</w:t>
      </w:r>
      <w:r w:rsidRPr="00F86CFA">
        <w:rPr>
          <w:rFonts w:ascii="Times New Roman" w:hAnsi="Times New Roman"/>
        </w:rPr>
        <w:t>owoda kosztów procesu za obie instancje, w tym kosztów zastępstwa procesowego, według norm przepisanych</w:t>
      </w:r>
      <w:r w:rsidR="00485BD1" w:rsidRPr="00F86CFA">
        <w:rPr>
          <w:rFonts w:ascii="Times New Roman" w:hAnsi="Times New Roman"/>
        </w:rPr>
        <w:t>.</w:t>
      </w:r>
    </w:p>
    <w:p w14:paraId="71A9E4DF" w14:textId="049B8328" w:rsidR="00210D36" w:rsidRPr="00F86CFA" w:rsidRDefault="00210D36" w:rsidP="00E671D4">
      <w:pPr>
        <w:pStyle w:val="Akapitzlist"/>
        <w:ind w:firstLine="0"/>
        <w:rPr>
          <w:rFonts w:ascii="Times New Roman" w:hAnsi="Times New Roman"/>
        </w:rPr>
      </w:pPr>
    </w:p>
    <w:p w14:paraId="5D033706" w14:textId="11D1E44E" w:rsidR="00AD5F84" w:rsidRPr="00F86CFA" w:rsidRDefault="00AD5F84" w:rsidP="00210D36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Jednocześnie, w związku z brzmieniem normy art. 374 k.p.c.</w:t>
      </w:r>
      <w:r w:rsidR="00212E91" w:rsidRPr="00F86CFA">
        <w:rPr>
          <w:sz w:val="22"/>
          <w:szCs w:val="22"/>
        </w:rPr>
        <w:t>,</w:t>
      </w:r>
      <w:r w:rsidR="00F86CFA" w:rsidRPr="00F86CFA">
        <w:rPr>
          <w:sz w:val="22"/>
          <w:szCs w:val="22"/>
        </w:rPr>
        <w:t xml:space="preserve"> wnoszę o rozpoznanie sprawy na </w:t>
      </w:r>
      <w:r w:rsidRPr="00F86CFA">
        <w:rPr>
          <w:sz w:val="22"/>
          <w:szCs w:val="22"/>
        </w:rPr>
        <w:t>rozprawie.</w:t>
      </w:r>
    </w:p>
    <w:p w14:paraId="7544877B" w14:textId="345BBBCC" w:rsidR="00210D36" w:rsidRPr="00F86CFA" w:rsidRDefault="00210D36" w:rsidP="00F0688E">
      <w:pPr>
        <w:ind w:left="0" w:firstLine="0"/>
        <w:rPr>
          <w:sz w:val="22"/>
          <w:szCs w:val="22"/>
        </w:rPr>
      </w:pPr>
    </w:p>
    <w:p w14:paraId="7424DA6A" w14:textId="77777777" w:rsidR="00210D36" w:rsidRPr="00F86CFA" w:rsidRDefault="00210D36" w:rsidP="00485BD1">
      <w:p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F86CFA">
        <w:rPr>
          <w:b/>
          <w:bCs/>
          <w:sz w:val="22"/>
          <w:szCs w:val="22"/>
        </w:rPr>
        <w:t>Uzasadnienie</w:t>
      </w:r>
    </w:p>
    <w:p w14:paraId="094F674D" w14:textId="77777777" w:rsidR="00210D36" w:rsidRPr="00F86CFA" w:rsidRDefault="00210D36" w:rsidP="00210D36">
      <w:pPr>
        <w:ind w:left="0" w:firstLine="0"/>
        <w:rPr>
          <w:sz w:val="22"/>
          <w:szCs w:val="22"/>
        </w:rPr>
      </w:pPr>
    </w:p>
    <w:p w14:paraId="54C42173" w14:textId="4404AC7C" w:rsidR="00210D36" w:rsidRPr="00F86CFA" w:rsidRDefault="00210D36" w:rsidP="00210D36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Pozwem z </w:t>
      </w:r>
      <w:r w:rsidR="009D78CA" w:rsidRPr="00F86CFA">
        <w:rPr>
          <w:sz w:val="22"/>
          <w:szCs w:val="22"/>
        </w:rPr>
        <w:t xml:space="preserve">dnia 5 listopada 2018 r. </w:t>
      </w:r>
      <w:r w:rsidR="00212E91" w:rsidRPr="00F86CFA">
        <w:rPr>
          <w:sz w:val="22"/>
          <w:szCs w:val="22"/>
        </w:rPr>
        <w:t>P</w:t>
      </w:r>
      <w:r w:rsidRPr="00F86CFA">
        <w:rPr>
          <w:sz w:val="22"/>
          <w:szCs w:val="22"/>
        </w:rPr>
        <w:t xml:space="preserve">owód </w:t>
      </w:r>
      <w:r w:rsidR="00AD5F84" w:rsidRPr="00F86CFA">
        <w:rPr>
          <w:sz w:val="22"/>
          <w:szCs w:val="22"/>
        </w:rPr>
        <w:t>wniósł</w:t>
      </w:r>
      <w:r w:rsidRPr="00F86CFA">
        <w:rPr>
          <w:sz w:val="22"/>
          <w:szCs w:val="22"/>
        </w:rPr>
        <w:t xml:space="preserve"> o </w:t>
      </w:r>
      <w:r w:rsidR="00247649" w:rsidRPr="00F86CFA">
        <w:rPr>
          <w:sz w:val="22"/>
          <w:szCs w:val="22"/>
        </w:rPr>
        <w:t xml:space="preserve">wydanie nakazu zapłaty w postępowaniu nakazowym, na mocy którego </w:t>
      </w:r>
      <w:r w:rsidR="00212E91" w:rsidRPr="00F86CFA">
        <w:rPr>
          <w:sz w:val="22"/>
          <w:szCs w:val="22"/>
        </w:rPr>
        <w:t>P</w:t>
      </w:r>
      <w:r w:rsidR="00247649" w:rsidRPr="00F86CFA">
        <w:rPr>
          <w:sz w:val="22"/>
          <w:szCs w:val="22"/>
        </w:rPr>
        <w:t>ozwana Barbara Nowak w ciągu 14 dn</w:t>
      </w:r>
      <w:r w:rsidR="00597393" w:rsidRPr="00F86CFA">
        <w:rPr>
          <w:sz w:val="22"/>
          <w:szCs w:val="22"/>
        </w:rPr>
        <w:t xml:space="preserve">i od doręczenia nakazu zapłaci </w:t>
      </w:r>
      <w:r w:rsidR="00212E91" w:rsidRPr="00F86CFA">
        <w:rPr>
          <w:sz w:val="22"/>
          <w:szCs w:val="22"/>
        </w:rPr>
        <w:t>P</w:t>
      </w:r>
      <w:r w:rsidR="00247649" w:rsidRPr="00F86CFA">
        <w:rPr>
          <w:sz w:val="22"/>
          <w:szCs w:val="22"/>
        </w:rPr>
        <w:t>owodowi kwotę 1 943 357,52 zł wraz z odsetkami ustawowymi od tej kwoty liczonymi od dnia wniesienia pozwu do dnia zapłaty oraz zwróci koszty postępowania</w:t>
      </w:r>
      <w:r w:rsidR="00AD5F84" w:rsidRPr="00F86CFA">
        <w:rPr>
          <w:sz w:val="22"/>
          <w:szCs w:val="22"/>
        </w:rPr>
        <w:t>. Sąd Okręgowy w Warszawie, XXV Wydział Cywilny</w:t>
      </w:r>
      <w:r w:rsidR="00B15363" w:rsidRPr="00F86CFA">
        <w:rPr>
          <w:sz w:val="22"/>
          <w:szCs w:val="22"/>
        </w:rPr>
        <w:t xml:space="preserve"> </w:t>
      </w:r>
      <w:r w:rsidR="00247649" w:rsidRPr="00F86CFA">
        <w:rPr>
          <w:sz w:val="22"/>
          <w:szCs w:val="22"/>
        </w:rPr>
        <w:t xml:space="preserve">wydał nakaz zapłaty </w:t>
      </w:r>
      <w:r w:rsidR="00B15363" w:rsidRPr="00F86CFA">
        <w:rPr>
          <w:sz w:val="22"/>
          <w:szCs w:val="22"/>
        </w:rPr>
        <w:t>w dniu 15 listopada 2018 r.</w:t>
      </w:r>
      <w:r w:rsidR="00247649" w:rsidRPr="00F86CFA">
        <w:rPr>
          <w:sz w:val="22"/>
          <w:szCs w:val="22"/>
        </w:rPr>
        <w:t xml:space="preserve">, sygn. akt XXV </w:t>
      </w:r>
      <w:proofErr w:type="spellStart"/>
      <w:r w:rsidR="00247649" w:rsidRPr="00F86CFA">
        <w:rPr>
          <w:sz w:val="22"/>
          <w:szCs w:val="22"/>
        </w:rPr>
        <w:t>Nc</w:t>
      </w:r>
      <w:proofErr w:type="spellEnd"/>
      <w:r w:rsidR="00247649" w:rsidRPr="00F86CFA">
        <w:rPr>
          <w:sz w:val="22"/>
          <w:szCs w:val="22"/>
        </w:rPr>
        <w:t xml:space="preserve"> 508/18, </w:t>
      </w:r>
      <w:r w:rsidR="00B15363" w:rsidRPr="00F86CFA">
        <w:rPr>
          <w:sz w:val="22"/>
          <w:szCs w:val="22"/>
        </w:rPr>
        <w:t>przychy</w:t>
      </w:r>
      <w:r w:rsidR="00597393" w:rsidRPr="00F86CFA">
        <w:rPr>
          <w:sz w:val="22"/>
          <w:szCs w:val="22"/>
        </w:rPr>
        <w:t xml:space="preserve">lając się w całości do żądania </w:t>
      </w:r>
      <w:r w:rsidR="00C81996" w:rsidRPr="00F86CFA">
        <w:rPr>
          <w:sz w:val="22"/>
          <w:szCs w:val="22"/>
        </w:rPr>
        <w:t>P</w:t>
      </w:r>
      <w:r w:rsidR="00B15363" w:rsidRPr="00F86CFA">
        <w:rPr>
          <w:sz w:val="22"/>
          <w:szCs w:val="22"/>
        </w:rPr>
        <w:t>owoda</w:t>
      </w:r>
      <w:r w:rsidR="00AD5F84" w:rsidRPr="00F86CFA">
        <w:rPr>
          <w:sz w:val="22"/>
          <w:szCs w:val="22"/>
        </w:rPr>
        <w:t xml:space="preserve">. W dniu </w:t>
      </w:r>
      <w:r w:rsidR="00B15363" w:rsidRPr="00F86CFA">
        <w:rPr>
          <w:sz w:val="22"/>
          <w:szCs w:val="22"/>
        </w:rPr>
        <w:t xml:space="preserve">15 grudnia 2018 r. Pozwana </w:t>
      </w:r>
      <w:r w:rsidR="00247649" w:rsidRPr="00F86CFA">
        <w:rPr>
          <w:sz w:val="22"/>
          <w:szCs w:val="22"/>
        </w:rPr>
        <w:t>wniosła</w:t>
      </w:r>
      <w:r w:rsidR="00F86CFA" w:rsidRPr="00F86CFA">
        <w:rPr>
          <w:sz w:val="22"/>
          <w:szCs w:val="22"/>
        </w:rPr>
        <w:t xml:space="preserve"> zarzuty od </w:t>
      </w:r>
      <w:r w:rsidR="00B15363" w:rsidRPr="00F86CFA">
        <w:rPr>
          <w:sz w:val="22"/>
          <w:szCs w:val="22"/>
        </w:rPr>
        <w:t xml:space="preserve">wydanego nakazu zapłaty </w:t>
      </w:r>
      <w:r w:rsidR="00597393" w:rsidRPr="00F86CFA">
        <w:rPr>
          <w:sz w:val="22"/>
          <w:szCs w:val="22"/>
        </w:rPr>
        <w:t>żądając jego uchylenia oraz oddalenia</w:t>
      </w:r>
      <w:r w:rsidR="00B15363" w:rsidRPr="00F86CFA">
        <w:rPr>
          <w:sz w:val="22"/>
          <w:szCs w:val="22"/>
        </w:rPr>
        <w:t xml:space="preserve"> powództwa w całości. </w:t>
      </w:r>
      <w:r w:rsidR="00F86CFA" w:rsidRPr="00F86CFA">
        <w:rPr>
          <w:sz w:val="22"/>
          <w:szCs w:val="22"/>
        </w:rPr>
        <w:t>Wyrokiem z </w:t>
      </w:r>
      <w:r w:rsidR="00B15363" w:rsidRPr="00F86CFA">
        <w:rPr>
          <w:sz w:val="22"/>
          <w:szCs w:val="22"/>
        </w:rPr>
        <w:t>dnia 11 czerwca 2019 r. Sąd Okręgowy w Warszawie, XXV Wydział Cywilny</w:t>
      </w:r>
      <w:r w:rsidR="00597393" w:rsidRPr="00F86CFA">
        <w:rPr>
          <w:sz w:val="22"/>
          <w:szCs w:val="22"/>
        </w:rPr>
        <w:t>,</w:t>
      </w:r>
      <w:r w:rsidR="00B15363" w:rsidRPr="00F86CFA">
        <w:rPr>
          <w:sz w:val="22"/>
          <w:szCs w:val="22"/>
        </w:rPr>
        <w:t xml:space="preserve"> uchylił w całości nakaz zapłaty z dnia 15 listopada 2018 r. oraz zasądził od </w:t>
      </w:r>
      <w:r w:rsidR="00C81996" w:rsidRPr="00F86CFA">
        <w:rPr>
          <w:sz w:val="22"/>
          <w:szCs w:val="22"/>
        </w:rPr>
        <w:t>P</w:t>
      </w:r>
      <w:r w:rsidR="00B15363" w:rsidRPr="00F86CFA">
        <w:rPr>
          <w:sz w:val="22"/>
          <w:szCs w:val="22"/>
        </w:rPr>
        <w:t>o</w:t>
      </w:r>
      <w:r w:rsidR="00247649" w:rsidRPr="00F86CFA">
        <w:rPr>
          <w:sz w:val="22"/>
          <w:szCs w:val="22"/>
        </w:rPr>
        <w:t>woda</w:t>
      </w:r>
      <w:r w:rsidR="00B15363" w:rsidRPr="00F86CFA">
        <w:rPr>
          <w:sz w:val="22"/>
          <w:szCs w:val="22"/>
        </w:rPr>
        <w:t xml:space="preserve"> na rzecz </w:t>
      </w:r>
      <w:r w:rsidR="00C81996" w:rsidRPr="00F86CFA">
        <w:rPr>
          <w:sz w:val="22"/>
          <w:szCs w:val="22"/>
        </w:rPr>
        <w:t>P</w:t>
      </w:r>
      <w:r w:rsidR="00597393" w:rsidRPr="00F86CFA">
        <w:rPr>
          <w:sz w:val="22"/>
          <w:szCs w:val="22"/>
        </w:rPr>
        <w:t>oz</w:t>
      </w:r>
      <w:r w:rsidR="00B15363" w:rsidRPr="00F86CFA">
        <w:rPr>
          <w:sz w:val="22"/>
          <w:szCs w:val="22"/>
        </w:rPr>
        <w:t xml:space="preserve">wanej zwrot kosztów postępowania. </w:t>
      </w:r>
      <w:r w:rsidRPr="00F86CFA">
        <w:rPr>
          <w:sz w:val="22"/>
          <w:szCs w:val="22"/>
        </w:rPr>
        <w:t xml:space="preserve">W uzasadnieniu </w:t>
      </w:r>
      <w:r w:rsidR="004B4C0E" w:rsidRPr="00F86CFA">
        <w:rPr>
          <w:sz w:val="22"/>
          <w:szCs w:val="22"/>
        </w:rPr>
        <w:t>S</w:t>
      </w:r>
      <w:r w:rsidRPr="00F86CFA">
        <w:rPr>
          <w:sz w:val="22"/>
          <w:szCs w:val="22"/>
        </w:rPr>
        <w:t xml:space="preserve">ąd I instancji podniósł, że </w:t>
      </w:r>
      <w:r w:rsidR="00247649" w:rsidRPr="00F86CFA">
        <w:rPr>
          <w:sz w:val="22"/>
          <w:szCs w:val="22"/>
        </w:rPr>
        <w:t xml:space="preserve">w jego ocenie zobowiązania </w:t>
      </w:r>
      <w:r w:rsidR="00EC01B5" w:rsidRPr="00F86CFA">
        <w:rPr>
          <w:sz w:val="22"/>
          <w:szCs w:val="22"/>
        </w:rPr>
        <w:t xml:space="preserve">wynikające ze stosunków handlowych między </w:t>
      </w:r>
      <w:r w:rsidR="00C81996" w:rsidRPr="00F86CFA">
        <w:rPr>
          <w:sz w:val="22"/>
          <w:szCs w:val="22"/>
        </w:rPr>
        <w:t>P</w:t>
      </w:r>
      <w:r w:rsidR="00EC01B5" w:rsidRPr="00F86CFA">
        <w:rPr>
          <w:sz w:val="22"/>
          <w:szCs w:val="22"/>
        </w:rPr>
        <w:t>owodem, który prowadzi działalność gospodarczą w Polsce</w:t>
      </w:r>
      <w:r w:rsidR="00D36BC1" w:rsidRPr="00F86CFA">
        <w:rPr>
          <w:sz w:val="22"/>
          <w:szCs w:val="22"/>
        </w:rPr>
        <w:t xml:space="preserve"> </w:t>
      </w:r>
      <w:r w:rsidR="00EC01B5" w:rsidRPr="00F86CFA">
        <w:rPr>
          <w:sz w:val="22"/>
          <w:szCs w:val="22"/>
        </w:rPr>
        <w:t>a</w:t>
      </w:r>
      <w:r w:rsidR="00D36BC1" w:rsidRPr="00F86CFA">
        <w:rPr>
          <w:sz w:val="22"/>
          <w:szCs w:val="22"/>
        </w:rPr>
        <w:t> </w:t>
      </w:r>
      <w:r w:rsidR="00C81996" w:rsidRPr="00F86CFA">
        <w:rPr>
          <w:sz w:val="22"/>
          <w:szCs w:val="22"/>
        </w:rPr>
        <w:t>P</w:t>
      </w:r>
      <w:r w:rsidR="00EC01B5" w:rsidRPr="00F86CFA">
        <w:rPr>
          <w:sz w:val="22"/>
          <w:szCs w:val="22"/>
        </w:rPr>
        <w:t>ozwaną</w:t>
      </w:r>
      <w:r w:rsidR="00D36BC1" w:rsidRPr="00F86CFA">
        <w:rPr>
          <w:sz w:val="22"/>
          <w:szCs w:val="22"/>
        </w:rPr>
        <w:t xml:space="preserve"> – </w:t>
      </w:r>
      <w:r w:rsidR="00EC01B5" w:rsidRPr="00F86CFA">
        <w:rPr>
          <w:sz w:val="22"/>
          <w:szCs w:val="22"/>
        </w:rPr>
        <w:t>obywatelką polską, zamieszkującą w Polsce</w:t>
      </w:r>
      <w:r w:rsidR="00D36BC1" w:rsidRPr="00F86CFA">
        <w:rPr>
          <w:sz w:val="22"/>
          <w:szCs w:val="22"/>
        </w:rPr>
        <w:t xml:space="preserve"> – </w:t>
      </w:r>
      <w:r w:rsidR="00EC01B5" w:rsidRPr="00F86CFA">
        <w:rPr>
          <w:sz w:val="22"/>
          <w:szCs w:val="22"/>
        </w:rPr>
        <w:t>nie mogą podlegać prawu innemu niż polskie z uwagi na nadrzędność polskiego porządku prawnego oraz ochronę interesu pozwanej, jako słabszej</w:t>
      </w:r>
      <w:r w:rsidR="00597393" w:rsidRPr="00F86CFA">
        <w:rPr>
          <w:sz w:val="22"/>
          <w:szCs w:val="22"/>
        </w:rPr>
        <w:t xml:space="preserve"> strony stosunku prawnego</w:t>
      </w:r>
      <w:r w:rsidR="00EC01B5" w:rsidRPr="00F86CFA">
        <w:rPr>
          <w:sz w:val="22"/>
          <w:szCs w:val="22"/>
        </w:rPr>
        <w:t>. Za oddaleniem powództwa przemawiały zdaniem Sądu trzy zasadnicze argumenty – brak wykazania w sposób bezsp</w:t>
      </w:r>
      <w:r w:rsidR="00597393" w:rsidRPr="00F86CFA">
        <w:rPr>
          <w:sz w:val="22"/>
          <w:szCs w:val="22"/>
        </w:rPr>
        <w:t>orny czynnej legitymacji przez p</w:t>
      </w:r>
      <w:r w:rsidR="00EC01B5" w:rsidRPr="00F86CFA">
        <w:rPr>
          <w:sz w:val="22"/>
          <w:szCs w:val="22"/>
        </w:rPr>
        <w:t>owoda, bezwzględna nieważność poręczenia na podstawie art. 58 § 1 k.c. z uwagi na jego sprzeczność z</w:t>
      </w:r>
      <w:r w:rsidR="00D36BC1" w:rsidRPr="00F86CFA">
        <w:rPr>
          <w:sz w:val="22"/>
          <w:szCs w:val="22"/>
        </w:rPr>
        <w:t> </w:t>
      </w:r>
      <w:r w:rsidR="00EC01B5" w:rsidRPr="00F86CFA">
        <w:rPr>
          <w:sz w:val="22"/>
          <w:szCs w:val="22"/>
        </w:rPr>
        <w:t xml:space="preserve">prawem oraz okoliczność, </w:t>
      </w:r>
      <w:r w:rsidR="00D36BC1" w:rsidRPr="00F86CFA">
        <w:rPr>
          <w:sz w:val="22"/>
          <w:szCs w:val="22"/>
        </w:rPr>
        <w:t>że</w:t>
      </w:r>
      <w:r w:rsidR="00F86CFA" w:rsidRPr="00F86CFA">
        <w:rPr>
          <w:sz w:val="22"/>
          <w:szCs w:val="22"/>
        </w:rPr>
        <w:t xml:space="preserve"> w </w:t>
      </w:r>
      <w:r w:rsidR="00EC01B5" w:rsidRPr="00F86CFA">
        <w:rPr>
          <w:sz w:val="22"/>
          <w:szCs w:val="22"/>
        </w:rPr>
        <w:t xml:space="preserve">ocenie Sądu pozwana uchyliła się w sposób skuteczny od złożonego oświadczenia woli. Powyższe rozstrzygnięcie zostało oparte </w:t>
      </w:r>
      <w:r w:rsidRPr="00F86CFA">
        <w:rPr>
          <w:sz w:val="22"/>
          <w:szCs w:val="22"/>
        </w:rPr>
        <w:t xml:space="preserve">na podstawie dowodów </w:t>
      </w:r>
      <w:r w:rsidR="00EC01B5" w:rsidRPr="00F86CFA">
        <w:rPr>
          <w:sz w:val="22"/>
          <w:szCs w:val="22"/>
        </w:rPr>
        <w:t xml:space="preserve">z dokumentów prywatnych oraz </w:t>
      </w:r>
      <w:r w:rsidR="00464D30" w:rsidRPr="00F86CFA">
        <w:rPr>
          <w:sz w:val="22"/>
          <w:szCs w:val="22"/>
        </w:rPr>
        <w:t xml:space="preserve">zeznań Janusza Nowaka oraz </w:t>
      </w:r>
      <w:r w:rsidR="00C81996" w:rsidRPr="00F86CFA">
        <w:rPr>
          <w:sz w:val="22"/>
          <w:szCs w:val="22"/>
        </w:rPr>
        <w:t>P</w:t>
      </w:r>
      <w:r w:rsidR="00464D30" w:rsidRPr="00F86CFA">
        <w:rPr>
          <w:sz w:val="22"/>
          <w:szCs w:val="22"/>
        </w:rPr>
        <w:t xml:space="preserve">ozwanej Barbary Nowak. </w:t>
      </w:r>
    </w:p>
    <w:p w14:paraId="46352149" w14:textId="77777777" w:rsidR="00464D30" w:rsidRPr="00F86CFA" w:rsidRDefault="00464D30" w:rsidP="00210D36">
      <w:pPr>
        <w:ind w:left="0" w:firstLine="0"/>
        <w:rPr>
          <w:sz w:val="22"/>
          <w:szCs w:val="22"/>
        </w:rPr>
      </w:pPr>
    </w:p>
    <w:p w14:paraId="3E403DE0" w14:textId="26BEB969" w:rsidR="00210D36" w:rsidRPr="00F86CFA" w:rsidRDefault="00210D36" w:rsidP="00210D36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Powyższe rozstrzygnięcie </w:t>
      </w:r>
      <w:r w:rsidR="004B4C0E" w:rsidRPr="00F86CFA">
        <w:rPr>
          <w:sz w:val="22"/>
          <w:szCs w:val="22"/>
        </w:rPr>
        <w:t>S</w:t>
      </w:r>
      <w:r w:rsidRPr="00F86CFA">
        <w:rPr>
          <w:sz w:val="22"/>
          <w:szCs w:val="22"/>
        </w:rPr>
        <w:t xml:space="preserve">ądu I instancji jest nieprawidłowe i </w:t>
      </w:r>
      <w:r w:rsidR="00597393" w:rsidRPr="00F86CFA">
        <w:rPr>
          <w:sz w:val="22"/>
          <w:szCs w:val="22"/>
        </w:rPr>
        <w:t xml:space="preserve">jako takie </w:t>
      </w:r>
      <w:r w:rsidRPr="00F86CFA">
        <w:rPr>
          <w:sz w:val="22"/>
          <w:szCs w:val="22"/>
        </w:rPr>
        <w:t>nie może się ostać</w:t>
      </w:r>
      <w:r w:rsidR="00597393" w:rsidRPr="00F86CFA">
        <w:rPr>
          <w:sz w:val="22"/>
          <w:szCs w:val="22"/>
        </w:rPr>
        <w:t xml:space="preserve"> </w:t>
      </w:r>
      <w:r w:rsidRPr="00F86CFA">
        <w:rPr>
          <w:sz w:val="22"/>
          <w:szCs w:val="22"/>
        </w:rPr>
        <w:t>z</w:t>
      </w:r>
      <w:r w:rsidR="00D36BC1" w:rsidRPr="00F86CFA">
        <w:rPr>
          <w:sz w:val="22"/>
          <w:szCs w:val="22"/>
        </w:rPr>
        <w:t> </w:t>
      </w:r>
      <w:r w:rsidRPr="00F86CFA">
        <w:rPr>
          <w:sz w:val="22"/>
          <w:szCs w:val="22"/>
        </w:rPr>
        <w:t>następujących przyczyn:</w:t>
      </w:r>
    </w:p>
    <w:p w14:paraId="1C1FA13C" w14:textId="0901D03C" w:rsidR="009414C6" w:rsidRPr="00F86CFA" w:rsidRDefault="00210D36" w:rsidP="009414C6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bCs/>
        </w:rPr>
        <w:lastRenderedPageBreak/>
        <w:t>Zarzuty naruszenia przepisów postępowa</w:t>
      </w:r>
      <w:r w:rsidR="00702058" w:rsidRPr="00F86CFA">
        <w:rPr>
          <w:rFonts w:ascii="Times New Roman" w:hAnsi="Times New Roman"/>
          <w:b/>
          <w:bCs/>
        </w:rPr>
        <w:t>nia:</w:t>
      </w:r>
    </w:p>
    <w:p w14:paraId="205DC1B3" w14:textId="47DCAF6B" w:rsidR="009414C6" w:rsidRPr="00F86CFA" w:rsidRDefault="009414C6" w:rsidP="009414C6">
      <w:pPr>
        <w:pStyle w:val="Akapitzlist"/>
        <w:ind w:left="1080" w:firstLine="0"/>
        <w:rPr>
          <w:rFonts w:ascii="Times New Roman" w:hAnsi="Times New Roman"/>
        </w:rPr>
      </w:pPr>
    </w:p>
    <w:p w14:paraId="1C9860F4" w14:textId="409E0C9D" w:rsidR="00991E66" w:rsidRPr="00F86CFA" w:rsidRDefault="00C81996" w:rsidP="00E671D4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F86CFA">
        <w:rPr>
          <w:rFonts w:ascii="Times New Roman" w:hAnsi="Times New Roman"/>
          <w:b/>
        </w:rPr>
        <w:t>Błędy w</w:t>
      </w:r>
      <w:r w:rsidR="005145EC" w:rsidRPr="00F86CFA">
        <w:rPr>
          <w:rFonts w:ascii="Times New Roman" w:hAnsi="Times New Roman"/>
          <w:b/>
        </w:rPr>
        <w:t xml:space="preserve"> ustalenia</w:t>
      </w:r>
      <w:r w:rsidRPr="00F86CFA">
        <w:rPr>
          <w:rFonts w:ascii="Times New Roman" w:hAnsi="Times New Roman"/>
          <w:b/>
        </w:rPr>
        <w:t>ch</w:t>
      </w:r>
      <w:r w:rsidR="005145EC" w:rsidRPr="00F86CFA">
        <w:rPr>
          <w:rFonts w:ascii="Times New Roman" w:hAnsi="Times New Roman"/>
          <w:b/>
        </w:rPr>
        <w:t xml:space="preserve"> faktyczn</w:t>
      </w:r>
      <w:r w:rsidRPr="00F86CFA">
        <w:rPr>
          <w:rFonts w:ascii="Times New Roman" w:hAnsi="Times New Roman"/>
          <w:b/>
        </w:rPr>
        <w:t>ych</w:t>
      </w:r>
    </w:p>
    <w:p w14:paraId="091EDE32" w14:textId="77777777" w:rsidR="00423EEC" w:rsidRPr="00F86CFA" w:rsidRDefault="00423EEC" w:rsidP="00E671D4">
      <w:pPr>
        <w:ind w:left="360" w:firstLine="0"/>
        <w:rPr>
          <w:b/>
        </w:rPr>
      </w:pPr>
    </w:p>
    <w:p w14:paraId="23893A71" w14:textId="5C97D742" w:rsidR="00191C9E" w:rsidRPr="00F86CFA" w:rsidRDefault="00E77F0C" w:rsidP="00E671D4">
      <w:pPr>
        <w:ind w:left="0" w:firstLine="0"/>
      </w:pPr>
      <w:r w:rsidRPr="00F86CFA">
        <w:rPr>
          <w:sz w:val="22"/>
          <w:szCs w:val="22"/>
        </w:rPr>
        <w:t xml:space="preserve">Sąd I instancji </w:t>
      </w:r>
      <w:r w:rsidR="00C81996" w:rsidRPr="00F86CFA">
        <w:rPr>
          <w:sz w:val="22"/>
          <w:szCs w:val="22"/>
        </w:rPr>
        <w:t>ocenił materiał dowodowy</w:t>
      </w:r>
      <w:r w:rsidRPr="00F86CFA">
        <w:rPr>
          <w:sz w:val="22"/>
          <w:szCs w:val="22"/>
        </w:rPr>
        <w:t xml:space="preserve"> w sposób arbitralny, ignorując zasady logiki</w:t>
      </w:r>
      <w:r w:rsidR="00C81996" w:rsidRPr="00F86CFA">
        <w:rPr>
          <w:sz w:val="22"/>
          <w:szCs w:val="22"/>
        </w:rPr>
        <w:t xml:space="preserve"> i </w:t>
      </w:r>
      <w:r w:rsidRPr="00F86CFA">
        <w:rPr>
          <w:sz w:val="22"/>
          <w:szCs w:val="22"/>
        </w:rPr>
        <w:t xml:space="preserve">doświadczenia życiowego oraz rażąco </w:t>
      </w:r>
      <w:r w:rsidR="00C81996" w:rsidRPr="00F86CFA">
        <w:rPr>
          <w:sz w:val="22"/>
          <w:szCs w:val="22"/>
        </w:rPr>
        <w:t>jednostronnie</w:t>
      </w:r>
      <w:r w:rsidRPr="00F86CFA">
        <w:rPr>
          <w:sz w:val="22"/>
          <w:szCs w:val="22"/>
        </w:rPr>
        <w:t xml:space="preserve"> interpretując </w:t>
      </w:r>
      <w:r w:rsidR="00C81996" w:rsidRPr="00F86CFA">
        <w:rPr>
          <w:sz w:val="22"/>
          <w:szCs w:val="22"/>
        </w:rPr>
        <w:t>przedstawione dowody</w:t>
      </w:r>
      <w:r w:rsidR="00423EEC" w:rsidRPr="00F86CFA">
        <w:rPr>
          <w:sz w:val="22"/>
          <w:szCs w:val="22"/>
        </w:rPr>
        <w:t xml:space="preserve">. Wyraźnie wadliwy charakter miało ustalenie przez </w:t>
      </w:r>
      <w:r w:rsidR="00485BD1" w:rsidRPr="00F86CFA">
        <w:rPr>
          <w:sz w:val="22"/>
          <w:szCs w:val="22"/>
        </w:rPr>
        <w:t>S</w:t>
      </w:r>
      <w:r w:rsidR="00423EEC" w:rsidRPr="00F86CFA">
        <w:rPr>
          <w:sz w:val="22"/>
          <w:szCs w:val="22"/>
        </w:rPr>
        <w:t>ąd okoliczności udzielenia poręczenia przez Pozwaną. Sąd w pełni dał wiarę zeznaniom Pozwanej i jej męża, według których pracownik oddziału Powoda miał wprowadzać w błąd, grozić i stosować przymus wobec Pozwanej w celu nakłonienia jej do zawarcia</w:t>
      </w:r>
      <w:r w:rsidR="000151FC" w:rsidRPr="00F86CFA">
        <w:rPr>
          <w:sz w:val="22"/>
          <w:szCs w:val="22"/>
        </w:rPr>
        <w:t xml:space="preserve"> tej umowy</w:t>
      </w:r>
      <w:r w:rsidR="00423EEC" w:rsidRPr="00F86CFA">
        <w:rPr>
          <w:sz w:val="22"/>
          <w:szCs w:val="22"/>
        </w:rPr>
        <w:t>.</w:t>
      </w:r>
    </w:p>
    <w:p w14:paraId="581CA9BB" w14:textId="77777777" w:rsidR="00191C9E" w:rsidRPr="00F86CFA" w:rsidRDefault="00191C9E" w:rsidP="00E671D4">
      <w:pPr>
        <w:ind w:left="0" w:firstLine="0"/>
      </w:pPr>
    </w:p>
    <w:p w14:paraId="5EA84BF7" w14:textId="4EA0579E" w:rsidR="00191C9E" w:rsidRPr="00F86CFA" w:rsidRDefault="00423EEC" w:rsidP="00E671D4">
      <w:pPr>
        <w:ind w:left="0" w:firstLine="0"/>
      </w:pPr>
      <w:r w:rsidRPr="00F86CFA">
        <w:rPr>
          <w:sz w:val="22"/>
          <w:szCs w:val="22"/>
        </w:rPr>
        <w:t>Po pierwsze, należy zauważyć, że jedynymi dowodami na zaistnienie takiego zdarzenia są wyłącznie słowa poręczycielki i jej męża – osób, które są żywotnie zainteresowane korzystnym dla siebie wynikiem postępowania. Z tego względu, zeznania te należy potraktować z du</w:t>
      </w:r>
      <w:r w:rsidR="00434FE3" w:rsidRPr="00F86CFA">
        <w:rPr>
          <w:sz w:val="22"/>
          <w:szCs w:val="22"/>
        </w:rPr>
        <w:t>żą dozą ostrożności i</w:t>
      </w:r>
      <w:r w:rsidR="00D36BC1" w:rsidRPr="00F86CFA">
        <w:rPr>
          <w:sz w:val="22"/>
          <w:szCs w:val="22"/>
        </w:rPr>
        <w:t> </w:t>
      </w:r>
      <w:r w:rsidR="00434FE3" w:rsidRPr="00F86CFA">
        <w:rPr>
          <w:sz w:val="22"/>
          <w:szCs w:val="22"/>
        </w:rPr>
        <w:t>krytycyzmu. Znamiennym jest, że Pozwana nie przedstawiła żadnych innych dowodów, które mogłyby podnieść wiarygodność</w:t>
      </w:r>
      <w:r w:rsidR="000151FC" w:rsidRPr="00F86CFA">
        <w:rPr>
          <w:sz w:val="22"/>
          <w:szCs w:val="22"/>
        </w:rPr>
        <w:t xml:space="preserve"> tych zeznań</w:t>
      </w:r>
      <w:r w:rsidR="00434FE3" w:rsidRPr="00F86CFA">
        <w:rPr>
          <w:sz w:val="22"/>
          <w:szCs w:val="22"/>
        </w:rPr>
        <w:t>; w szczególności, na żadnym et</w:t>
      </w:r>
      <w:r w:rsidR="00F86CFA">
        <w:rPr>
          <w:sz w:val="22"/>
          <w:szCs w:val="22"/>
        </w:rPr>
        <w:t>apie postępowania nie wnosiła o </w:t>
      </w:r>
      <w:r w:rsidR="00434FE3" w:rsidRPr="00F86CFA">
        <w:rPr>
          <w:sz w:val="22"/>
          <w:szCs w:val="22"/>
        </w:rPr>
        <w:t>przeprowadzenie dowodu z zeznań pracownika oddziału Powoda, pomimo że jest on, poza Pozwaną, jedyną osobą, która brała udział w omawianych czynno</w:t>
      </w:r>
      <w:r w:rsidR="000151FC" w:rsidRPr="00F86CFA">
        <w:rPr>
          <w:sz w:val="22"/>
          <w:szCs w:val="22"/>
        </w:rPr>
        <w:t>ściach.</w:t>
      </w:r>
    </w:p>
    <w:p w14:paraId="6ADA6FD6" w14:textId="77777777" w:rsidR="00191C9E" w:rsidRPr="00F86CFA" w:rsidRDefault="00191C9E" w:rsidP="00E671D4">
      <w:pPr>
        <w:ind w:left="0" w:firstLine="0"/>
      </w:pPr>
    </w:p>
    <w:p w14:paraId="4F5CAAC3" w14:textId="0022D951" w:rsidR="00E77F0C" w:rsidRPr="00F86CFA" w:rsidRDefault="000151FC" w:rsidP="00E671D4">
      <w:pPr>
        <w:ind w:left="0" w:firstLine="0"/>
      </w:pPr>
      <w:r w:rsidRPr="00F86CFA">
        <w:rPr>
          <w:sz w:val="22"/>
          <w:szCs w:val="22"/>
        </w:rPr>
        <w:t>Po drugie, za sprzeczny</w:t>
      </w:r>
      <w:r w:rsidR="00434FE3" w:rsidRPr="00F86CFA">
        <w:rPr>
          <w:sz w:val="22"/>
          <w:szCs w:val="22"/>
        </w:rPr>
        <w:t xml:space="preserve"> z elementarnymi zasadami doświadczenia życiowego należy uznać pogląd, jakoby pracownik Powoda lub Powód mogliby mieć interes w uzyskaniu od Pozwanej poręczenia. Należy zwrócić uwagę, że zostało ono udzielone w dniu 22 października 2017 r., w </w:t>
      </w:r>
      <w:proofErr w:type="gramStart"/>
      <w:r w:rsidR="00434FE3" w:rsidRPr="00F86CFA">
        <w:rPr>
          <w:sz w:val="22"/>
          <w:szCs w:val="22"/>
        </w:rPr>
        <w:t>chwili</w:t>
      </w:r>
      <w:proofErr w:type="gramEnd"/>
      <w:r w:rsidR="00434FE3" w:rsidRPr="00F86CFA">
        <w:rPr>
          <w:sz w:val="22"/>
          <w:szCs w:val="22"/>
        </w:rPr>
        <w:t xml:space="preserve"> gdy wierzycielem spółki Nowak sp.</w:t>
      </w:r>
      <w:r w:rsidRPr="00F86CFA">
        <w:rPr>
          <w:sz w:val="22"/>
          <w:szCs w:val="22"/>
        </w:rPr>
        <w:t xml:space="preserve"> </w:t>
      </w:r>
      <w:r w:rsidR="00434FE3" w:rsidRPr="00F86CFA">
        <w:rPr>
          <w:sz w:val="22"/>
          <w:szCs w:val="22"/>
        </w:rPr>
        <w:t xml:space="preserve">z o. o. był HB Bank, nie Powód. Dokonanie </w:t>
      </w:r>
      <w:r w:rsidRPr="00F86CFA">
        <w:rPr>
          <w:sz w:val="22"/>
          <w:szCs w:val="22"/>
        </w:rPr>
        <w:t>omawianej</w:t>
      </w:r>
      <w:r w:rsidR="00434FE3" w:rsidRPr="00F86CFA">
        <w:rPr>
          <w:sz w:val="22"/>
          <w:szCs w:val="22"/>
        </w:rPr>
        <w:t xml:space="preserve"> czynności było wi</w:t>
      </w:r>
      <w:r w:rsidR="000D47AA" w:rsidRPr="00F86CFA">
        <w:rPr>
          <w:sz w:val="22"/>
          <w:szCs w:val="22"/>
        </w:rPr>
        <w:t>ęc w tamtych okolicznościach obo</w:t>
      </w:r>
      <w:r w:rsidR="00434FE3" w:rsidRPr="00F86CFA">
        <w:rPr>
          <w:sz w:val="22"/>
          <w:szCs w:val="22"/>
        </w:rPr>
        <w:t xml:space="preserve">jętne z perspektywy </w:t>
      </w:r>
      <w:proofErr w:type="spellStart"/>
      <w:r w:rsidR="00434FE3" w:rsidRPr="00F86CFA">
        <w:rPr>
          <w:sz w:val="22"/>
          <w:szCs w:val="22"/>
        </w:rPr>
        <w:t>M</w:t>
      </w:r>
      <w:r w:rsidR="00D36BC1" w:rsidRPr="00F86CFA">
        <w:rPr>
          <w:sz w:val="22"/>
          <w:szCs w:val="22"/>
        </w:rPr>
        <w:t>ä</w:t>
      </w:r>
      <w:r w:rsidR="00434FE3" w:rsidRPr="00F86CFA">
        <w:rPr>
          <w:sz w:val="22"/>
          <w:szCs w:val="22"/>
        </w:rPr>
        <w:t>nnermode</w:t>
      </w:r>
      <w:proofErr w:type="spellEnd"/>
      <w:r w:rsidR="005C3A63" w:rsidRPr="00F86CFA">
        <w:rPr>
          <w:sz w:val="22"/>
          <w:szCs w:val="22"/>
        </w:rPr>
        <w:t xml:space="preserve"> GmbH</w:t>
      </w:r>
      <w:r w:rsidR="00434FE3" w:rsidRPr="00F86CFA">
        <w:rPr>
          <w:sz w:val="22"/>
          <w:szCs w:val="22"/>
        </w:rPr>
        <w:t xml:space="preserve"> i nie miał</w:t>
      </w:r>
      <w:r w:rsidR="00F73F62" w:rsidRPr="00F86CFA">
        <w:rPr>
          <w:sz w:val="22"/>
          <w:szCs w:val="22"/>
        </w:rPr>
        <w:t>a</w:t>
      </w:r>
      <w:r w:rsidR="00434FE3" w:rsidRPr="00F86CFA">
        <w:rPr>
          <w:sz w:val="22"/>
          <w:szCs w:val="22"/>
        </w:rPr>
        <w:t xml:space="preserve"> on</w:t>
      </w:r>
      <w:r w:rsidR="00F73F62" w:rsidRPr="00F86CFA">
        <w:rPr>
          <w:sz w:val="22"/>
          <w:szCs w:val="22"/>
        </w:rPr>
        <w:t>a</w:t>
      </w:r>
      <w:r w:rsidR="00434FE3" w:rsidRPr="00F86CFA">
        <w:rPr>
          <w:sz w:val="22"/>
          <w:szCs w:val="22"/>
        </w:rPr>
        <w:t xml:space="preserve"> żadnego powodu dla jakiegokolwiek nakłaniania Pozwanej do udzielenia poręczenia</w:t>
      </w:r>
      <w:r w:rsidR="00410696" w:rsidRPr="00F86CFA">
        <w:rPr>
          <w:sz w:val="22"/>
          <w:szCs w:val="22"/>
        </w:rPr>
        <w:t xml:space="preserve">. Tym bardziej niewiarygodne wydaje się, aby w </w:t>
      </w:r>
      <w:r w:rsidR="004C2E47" w:rsidRPr="00F86CFA">
        <w:rPr>
          <w:sz w:val="22"/>
          <w:szCs w:val="22"/>
        </w:rPr>
        <w:t>tej sytuacji</w:t>
      </w:r>
      <w:r w:rsidR="00410696" w:rsidRPr="00F86CFA">
        <w:rPr>
          <w:sz w:val="22"/>
          <w:szCs w:val="22"/>
        </w:rPr>
        <w:t xml:space="preserve"> Powód pomijał zwyczajowe </w:t>
      </w:r>
      <w:r w:rsidR="004C2E47" w:rsidRPr="00F86CFA">
        <w:rPr>
          <w:sz w:val="22"/>
          <w:szCs w:val="22"/>
        </w:rPr>
        <w:t>kanały komunikacji ze spółką Nowak sp. z o.o. i w sposób niezapowiedziany pojawiał się w domu Janusza Nowaka, czego nie robił nigdy wcześniej – jak zeznał Janusz Nowak na rozprawie w dniu</w:t>
      </w:r>
      <w:r w:rsidRPr="00F86CFA">
        <w:rPr>
          <w:sz w:val="22"/>
          <w:szCs w:val="22"/>
        </w:rPr>
        <w:t xml:space="preserve"> 11 czerwca 2019 r.</w:t>
      </w:r>
      <w:r w:rsidR="00F86CFA">
        <w:rPr>
          <w:sz w:val="22"/>
          <w:szCs w:val="22"/>
        </w:rPr>
        <w:t xml:space="preserve"> (protokół z </w:t>
      </w:r>
      <w:r w:rsidR="004C2E47" w:rsidRPr="00F86CFA">
        <w:rPr>
          <w:sz w:val="22"/>
          <w:szCs w:val="22"/>
        </w:rPr>
        <w:t>rozprawy, k. 25)</w:t>
      </w:r>
      <w:r w:rsidR="00434FE3" w:rsidRPr="00F86CFA">
        <w:rPr>
          <w:sz w:val="22"/>
          <w:szCs w:val="22"/>
        </w:rPr>
        <w:t>.</w:t>
      </w:r>
      <w:r w:rsidR="00191C9E" w:rsidRPr="00F86CFA">
        <w:rPr>
          <w:sz w:val="22"/>
          <w:szCs w:val="22"/>
        </w:rPr>
        <w:t xml:space="preserve"> Wyłaniający się z zeznań dłużników przebieg zdarzeń jest więc głęboko nielogiczny.</w:t>
      </w:r>
      <w:r w:rsidR="00434FE3" w:rsidRPr="00F86CFA">
        <w:rPr>
          <w:sz w:val="22"/>
          <w:szCs w:val="22"/>
        </w:rPr>
        <w:t xml:space="preserve"> W </w:t>
      </w:r>
      <w:r w:rsidR="00191C9E" w:rsidRPr="00F86CFA">
        <w:rPr>
          <w:sz w:val="22"/>
          <w:szCs w:val="22"/>
        </w:rPr>
        <w:t xml:space="preserve">istocie, w </w:t>
      </w:r>
      <w:r w:rsidR="00434FE3" w:rsidRPr="00F86CFA">
        <w:rPr>
          <w:sz w:val="22"/>
          <w:szCs w:val="22"/>
        </w:rPr>
        <w:t xml:space="preserve">omawianej sytuacji </w:t>
      </w:r>
      <w:r w:rsidR="00733985" w:rsidRPr="00F86CFA">
        <w:rPr>
          <w:sz w:val="22"/>
          <w:szCs w:val="22"/>
        </w:rPr>
        <w:t xml:space="preserve">jedynymi osobami, które mogły być realnie zainteresowane </w:t>
      </w:r>
      <w:r w:rsidR="00D36BC1" w:rsidRPr="00F86CFA">
        <w:rPr>
          <w:sz w:val="22"/>
          <w:szCs w:val="22"/>
        </w:rPr>
        <w:t>dokonaniem</w:t>
      </w:r>
      <w:r w:rsidR="00733985" w:rsidRPr="00F86CFA">
        <w:rPr>
          <w:sz w:val="22"/>
          <w:szCs w:val="22"/>
        </w:rPr>
        <w:t xml:space="preserve"> takiej czynności, była sama Pozwana oraz jej mąż. Wynikało to z faktu, </w:t>
      </w:r>
      <w:r w:rsidR="00D36BC1" w:rsidRPr="00F86CFA">
        <w:rPr>
          <w:sz w:val="22"/>
          <w:szCs w:val="22"/>
        </w:rPr>
        <w:t>że</w:t>
      </w:r>
      <w:r w:rsidR="00733985" w:rsidRPr="00F86CFA">
        <w:rPr>
          <w:sz w:val="22"/>
          <w:szCs w:val="22"/>
        </w:rPr>
        <w:t xml:space="preserve"> z uwagi na złą sytuację finansową </w:t>
      </w:r>
      <w:r w:rsidR="00F73F62" w:rsidRPr="00F86CFA">
        <w:rPr>
          <w:sz w:val="22"/>
          <w:szCs w:val="22"/>
        </w:rPr>
        <w:t xml:space="preserve">Nowak sp. z o.o. </w:t>
      </w:r>
      <w:r w:rsidR="00733985" w:rsidRPr="00F86CFA">
        <w:rPr>
          <w:sz w:val="22"/>
          <w:szCs w:val="22"/>
        </w:rPr>
        <w:t xml:space="preserve">istniało ryzyko </w:t>
      </w:r>
      <w:r w:rsidR="00F73F62" w:rsidRPr="00F86CFA">
        <w:rPr>
          <w:sz w:val="22"/>
          <w:szCs w:val="22"/>
        </w:rPr>
        <w:t>zaprzestania</w:t>
      </w:r>
      <w:r w:rsidR="00733985" w:rsidRPr="00F86CFA">
        <w:rPr>
          <w:sz w:val="22"/>
          <w:szCs w:val="22"/>
        </w:rPr>
        <w:t xml:space="preserve"> udzielania finansowania p</w:t>
      </w:r>
      <w:r w:rsidR="00F86CFA">
        <w:rPr>
          <w:sz w:val="22"/>
          <w:szCs w:val="22"/>
        </w:rPr>
        <w:t>rzez HB </w:t>
      </w:r>
      <w:r w:rsidR="00733985" w:rsidRPr="00F86CFA">
        <w:rPr>
          <w:sz w:val="22"/>
          <w:szCs w:val="22"/>
        </w:rPr>
        <w:t>Bank</w:t>
      </w:r>
      <w:r w:rsidR="00F86CFA">
        <w:rPr>
          <w:sz w:val="22"/>
          <w:szCs w:val="22"/>
        </w:rPr>
        <w:t xml:space="preserve"> GmbH</w:t>
      </w:r>
      <w:r w:rsidR="00733985" w:rsidRPr="00F86CFA">
        <w:rPr>
          <w:sz w:val="22"/>
          <w:szCs w:val="22"/>
        </w:rPr>
        <w:t>.</w:t>
      </w:r>
      <w:r w:rsidR="00F73F62" w:rsidRPr="00F86CFA">
        <w:rPr>
          <w:sz w:val="22"/>
          <w:szCs w:val="22"/>
        </w:rPr>
        <w:t xml:space="preserve"> Jego kontynuacja była możliwa tylko po ustanowieniu dodatkowego zabezpieczenia, o którym mowa w § 13 ust. 2 Ogólnych warunków handlowych HB Bank GmbH (</w:t>
      </w:r>
      <w:r w:rsidR="00C81996" w:rsidRPr="00F86CFA">
        <w:rPr>
          <w:sz w:val="22"/>
          <w:szCs w:val="22"/>
        </w:rPr>
        <w:t>w </w:t>
      </w:r>
      <w:r w:rsidR="00F86CFA">
        <w:rPr>
          <w:sz w:val="22"/>
          <w:szCs w:val="22"/>
        </w:rPr>
        <w:t>aktach sprawy, k. </w:t>
      </w:r>
      <w:r w:rsidR="00F73F62" w:rsidRPr="00F86CFA">
        <w:rPr>
          <w:sz w:val="22"/>
          <w:szCs w:val="22"/>
        </w:rPr>
        <w:t>7).</w:t>
      </w:r>
      <w:r w:rsidR="00410696" w:rsidRPr="00F86CFA">
        <w:rPr>
          <w:sz w:val="22"/>
          <w:szCs w:val="22"/>
        </w:rPr>
        <w:t xml:space="preserve"> </w:t>
      </w:r>
    </w:p>
    <w:p w14:paraId="4387983A" w14:textId="77777777" w:rsidR="00191C9E" w:rsidRPr="00F86CFA" w:rsidRDefault="00191C9E" w:rsidP="00E671D4">
      <w:pPr>
        <w:ind w:left="0" w:firstLine="0"/>
      </w:pPr>
    </w:p>
    <w:p w14:paraId="07B9FFD4" w14:textId="1AD0EF45" w:rsidR="004C79A1" w:rsidRPr="00F86CFA" w:rsidRDefault="00191C9E" w:rsidP="004C79A1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Po trzecie, </w:t>
      </w:r>
      <w:r w:rsidR="00C81996" w:rsidRPr="00F86CFA">
        <w:rPr>
          <w:sz w:val="22"/>
          <w:szCs w:val="22"/>
        </w:rPr>
        <w:t>za absurdalne</w:t>
      </w:r>
      <w:r w:rsidRPr="00F86CFA">
        <w:rPr>
          <w:sz w:val="22"/>
          <w:szCs w:val="22"/>
        </w:rPr>
        <w:t xml:space="preserve"> należy uznać </w:t>
      </w:r>
      <w:r w:rsidR="00C81996" w:rsidRPr="00F86CFA">
        <w:rPr>
          <w:sz w:val="22"/>
          <w:szCs w:val="22"/>
        </w:rPr>
        <w:t>stanowisko</w:t>
      </w:r>
      <w:r w:rsidRPr="00F86CFA">
        <w:rPr>
          <w:sz w:val="22"/>
          <w:szCs w:val="22"/>
        </w:rPr>
        <w:t xml:space="preserve"> Sądu, jakoby w chwili udzielenia poręczenia Pozwana znajdowała się w s</w:t>
      </w:r>
      <w:r w:rsidR="00314D13" w:rsidRPr="00F86CFA">
        <w:rPr>
          <w:sz w:val="22"/>
          <w:szCs w:val="22"/>
        </w:rPr>
        <w:t>tanie wyłączającym</w:t>
      </w:r>
      <w:r w:rsidR="00C81996" w:rsidRPr="00F86CFA">
        <w:rPr>
          <w:sz w:val="22"/>
          <w:szCs w:val="22"/>
        </w:rPr>
        <w:t xml:space="preserve"> możliwość</w:t>
      </w:r>
      <w:r w:rsidR="00314D13" w:rsidRPr="00F86CFA">
        <w:rPr>
          <w:sz w:val="22"/>
          <w:szCs w:val="22"/>
        </w:rPr>
        <w:t xml:space="preserve"> swobodne</w:t>
      </w:r>
      <w:r w:rsidR="00C81996" w:rsidRPr="00F86CFA">
        <w:rPr>
          <w:sz w:val="22"/>
          <w:szCs w:val="22"/>
        </w:rPr>
        <w:t>go</w:t>
      </w:r>
      <w:r w:rsidR="00314D13" w:rsidRPr="00F86CFA">
        <w:rPr>
          <w:sz w:val="22"/>
          <w:szCs w:val="22"/>
        </w:rPr>
        <w:t xml:space="preserve"> i świadome</w:t>
      </w:r>
      <w:r w:rsidR="00C81996" w:rsidRPr="00F86CFA">
        <w:rPr>
          <w:sz w:val="22"/>
          <w:szCs w:val="22"/>
        </w:rPr>
        <w:t>go</w:t>
      </w:r>
      <w:r w:rsidR="00314D13" w:rsidRPr="00F86CFA">
        <w:rPr>
          <w:sz w:val="22"/>
          <w:szCs w:val="22"/>
        </w:rPr>
        <w:t xml:space="preserve"> podj</w:t>
      </w:r>
      <w:r w:rsidR="00C81996" w:rsidRPr="00F86CFA">
        <w:rPr>
          <w:sz w:val="22"/>
          <w:szCs w:val="22"/>
        </w:rPr>
        <w:t xml:space="preserve">ęcia decyzji oraz </w:t>
      </w:r>
      <w:r w:rsidR="00314D13" w:rsidRPr="00F86CFA">
        <w:rPr>
          <w:sz w:val="22"/>
          <w:szCs w:val="22"/>
        </w:rPr>
        <w:t xml:space="preserve">wyrażenie woli w rozumieniu art. 82 k.c. </w:t>
      </w:r>
      <w:r w:rsidR="004C79A1" w:rsidRPr="00F86CFA">
        <w:rPr>
          <w:sz w:val="22"/>
          <w:szCs w:val="22"/>
        </w:rPr>
        <w:t>Jak przyjmu</w:t>
      </w:r>
      <w:r w:rsidR="00C81996" w:rsidRPr="00F86CFA">
        <w:rPr>
          <w:sz w:val="22"/>
          <w:szCs w:val="22"/>
        </w:rPr>
        <w:t xml:space="preserve">je się w orzecznictwie, przez to sformułowanie </w:t>
      </w:r>
      <w:r w:rsidR="004C79A1" w:rsidRPr="00F86CFA">
        <w:rPr>
          <w:sz w:val="22"/>
          <w:szCs w:val="22"/>
        </w:rPr>
        <w:t>rozumie się stan „który oznacza brak rozeznania, niemożność rozumienia posunięć własnych i posunięć innych osób oraz niezdawanie sobie sprawy ze znaczenia i skutków własnego postępowania</w:t>
      </w:r>
      <w:r w:rsidR="000D47AA" w:rsidRPr="00F86CFA">
        <w:rPr>
          <w:sz w:val="22"/>
          <w:szCs w:val="22"/>
        </w:rPr>
        <w:t>” (wyrok Sądu Najwyżs</w:t>
      </w:r>
      <w:r w:rsidR="004C79A1" w:rsidRPr="00F86CFA">
        <w:rPr>
          <w:sz w:val="22"/>
          <w:szCs w:val="22"/>
        </w:rPr>
        <w:t>zego z dnia 7 lutego 2006 r.</w:t>
      </w:r>
      <w:r w:rsidR="00485BD1" w:rsidRPr="00F86CFA">
        <w:rPr>
          <w:sz w:val="22"/>
          <w:szCs w:val="22"/>
        </w:rPr>
        <w:t>,</w:t>
      </w:r>
      <w:r w:rsidR="004C79A1" w:rsidRPr="00F86CFA">
        <w:rPr>
          <w:sz w:val="22"/>
          <w:szCs w:val="22"/>
        </w:rPr>
        <w:t xml:space="preserve"> IV CSK 7/05</w:t>
      </w:r>
      <w:r w:rsidR="00485BD1" w:rsidRPr="00F86CFA">
        <w:rPr>
          <w:sz w:val="22"/>
          <w:szCs w:val="22"/>
        </w:rPr>
        <w:t xml:space="preserve">, </w:t>
      </w:r>
      <w:r w:rsidR="00F249E4" w:rsidRPr="00F86CFA">
        <w:rPr>
          <w:sz w:val="22"/>
          <w:szCs w:val="22"/>
        </w:rPr>
        <w:t>LEX nr 180191</w:t>
      </w:r>
      <w:r w:rsidR="004C79A1" w:rsidRPr="00F86CFA">
        <w:rPr>
          <w:sz w:val="22"/>
          <w:szCs w:val="22"/>
        </w:rPr>
        <w:t>). Żaden z elementów zebranego materiału dowodowego nie uzasadnia przyjęcia takiej oceny kondycji</w:t>
      </w:r>
      <w:r w:rsidR="00D36BC1" w:rsidRPr="00F86CFA">
        <w:rPr>
          <w:sz w:val="22"/>
          <w:szCs w:val="22"/>
        </w:rPr>
        <w:t xml:space="preserve"> </w:t>
      </w:r>
      <w:r w:rsidR="004C79A1" w:rsidRPr="00F86CFA">
        <w:rPr>
          <w:sz w:val="22"/>
          <w:szCs w:val="22"/>
        </w:rPr>
        <w:t xml:space="preserve">Pozwanej. Przeciwnie, Pozwana zeznała, że podczas rozmowy z pracownikiem miała „protestować” oraz dzwonić do męża w celu zasięgnięcia od niego informacji (protokół z rozprawy, k. 25-26), </w:t>
      </w:r>
      <w:r w:rsidR="005C3A63" w:rsidRPr="00F86CFA">
        <w:rPr>
          <w:sz w:val="22"/>
          <w:szCs w:val="22"/>
        </w:rPr>
        <w:t>twierdziła więc</w:t>
      </w:r>
      <w:r w:rsidR="004C79A1" w:rsidRPr="00F86CFA">
        <w:rPr>
          <w:sz w:val="22"/>
          <w:szCs w:val="22"/>
        </w:rPr>
        <w:t>, że posiadała dostateczne rozeznanie sytuacji i była zdolna do podejmowania logicznych działań.</w:t>
      </w:r>
    </w:p>
    <w:p w14:paraId="5EE4FE06" w14:textId="77777777" w:rsidR="00991E66" w:rsidRPr="00F86CFA" w:rsidRDefault="00991E66" w:rsidP="004C79A1">
      <w:pPr>
        <w:ind w:left="0" w:firstLine="0"/>
        <w:rPr>
          <w:sz w:val="22"/>
          <w:szCs w:val="22"/>
        </w:rPr>
      </w:pPr>
    </w:p>
    <w:p w14:paraId="11F22112" w14:textId="7F9750B9" w:rsidR="00991E66" w:rsidRPr="00F86CFA" w:rsidRDefault="00991E66" w:rsidP="00E671D4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F86CFA">
        <w:rPr>
          <w:rFonts w:ascii="Times New Roman" w:hAnsi="Times New Roman"/>
          <w:b/>
        </w:rPr>
        <w:t>Naruszenie art. 230 k. p. c.</w:t>
      </w:r>
    </w:p>
    <w:p w14:paraId="76CDFDBC" w14:textId="77777777" w:rsidR="00F249E4" w:rsidRPr="00F86CFA" w:rsidRDefault="00F249E4" w:rsidP="00F249E4">
      <w:pPr>
        <w:rPr>
          <w:b/>
        </w:rPr>
      </w:pPr>
    </w:p>
    <w:p w14:paraId="43E7CB3A" w14:textId="17D6D8B4" w:rsidR="00191C9E" w:rsidRPr="00F86CFA" w:rsidRDefault="00991E66" w:rsidP="00E671D4">
      <w:pPr>
        <w:ind w:left="0" w:firstLine="0"/>
      </w:pPr>
      <w:r w:rsidRPr="00F86CFA">
        <w:rPr>
          <w:sz w:val="22"/>
        </w:rPr>
        <w:t xml:space="preserve">Sąd uznał za bezsporne okoliczności udzielenia poręczenia przez Pozwaną (uzasadnienie wyroku, k. 22). Ocena taka była rażąco nieprawidłowa, z uwagi na fakt, </w:t>
      </w:r>
      <w:r w:rsidR="00D36BC1" w:rsidRPr="00F86CFA">
        <w:rPr>
          <w:sz w:val="22"/>
        </w:rPr>
        <w:t>że</w:t>
      </w:r>
      <w:r w:rsidR="009212B3" w:rsidRPr="00F86CFA">
        <w:rPr>
          <w:sz w:val="22"/>
        </w:rPr>
        <w:t xml:space="preserve"> Powód na rozprawie w</w:t>
      </w:r>
      <w:r w:rsidR="00D36BC1" w:rsidRPr="00F86CFA">
        <w:rPr>
          <w:sz w:val="22"/>
        </w:rPr>
        <w:t> </w:t>
      </w:r>
      <w:r w:rsidR="009212B3" w:rsidRPr="00F86CFA">
        <w:rPr>
          <w:sz w:val="22"/>
        </w:rPr>
        <w:t>dniu</w:t>
      </w:r>
      <w:r w:rsidR="00D36BC1" w:rsidRPr="00F86CFA">
        <w:rPr>
          <w:sz w:val="22"/>
        </w:rPr>
        <w:t> </w:t>
      </w:r>
      <w:r w:rsidR="009212B3" w:rsidRPr="00F86CFA">
        <w:rPr>
          <w:sz w:val="22"/>
        </w:rPr>
        <w:t>11 </w:t>
      </w:r>
      <w:r w:rsidRPr="00F86CFA">
        <w:rPr>
          <w:sz w:val="22"/>
        </w:rPr>
        <w:t xml:space="preserve">czerwca 2019 r. zaprzeczył twierdzeniom </w:t>
      </w:r>
      <w:r w:rsidR="00F249E4" w:rsidRPr="00F86CFA">
        <w:rPr>
          <w:sz w:val="22"/>
        </w:rPr>
        <w:t>s</w:t>
      </w:r>
      <w:r w:rsidRPr="00F86CFA">
        <w:rPr>
          <w:sz w:val="22"/>
        </w:rPr>
        <w:t xml:space="preserve">trony </w:t>
      </w:r>
      <w:r w:rsidR="00F249E4" w:rsidRPr="00F86CFA">
        <w:rPr>
          <w:sz w:val="22"/>
        </w:rPr>
        <w:t>p</w:t>
      </w:r>
      <w:r w:rsidRPr="00F86CFA">
        <w:rPr>
          <w:sz w:val="22"/>
        </w:rPr>
        <w:t>ozwanej w tym przedmiocie (protokół z</w:t>
      </w:r>
      <w:r w:rsidR="00D36BC1" w:rsidRPr="00F86CFA">
        <w:rPr>
          <w:sz w:val="22"/>
        </w:rPr>
        <w:t> </w:t>
      </w:r>
      <w:r w:rsidRPr="00F86CFA">
        <w:rPr>
          <w:sz w:val="22"/>
        </w:rPr>
        <w:t>rozprawy, k. 24). Niedopuszczalne było w tych okolicznościach zastosowanie art.</w:t>
      </w:r>
      <w:r w:rsidR="005C3A63" w:rsidRPr="00F86CFA">
        <w:rPr>
          <w:sz w:val="22"/>
        </w:rPr>
        <w:t xml:space="preserve"> 230 k.p.</w:t>
      </w:r>
      <w:r w:rsidRPr="00F86CFA">
        <w:rPr>
          <w:sz w:val="22"/>
        </w:rPr>
        <w:t>c. i</w:t>
      </w:r>
      <w:r w:rsidR="00D36BC1" w:rsidRPr="00F86CFA">
        <w:rPr>
          <w:sz w:val="22"/>
        </w:rPr>
        <w:t> </w:t>
      </w:r>
      <w:r w:rsidRPr="00F86CFA">
        <w:rPr>
          <w:sz w:val="22"/>
        </w:rPr>
        <w:t>uznanie twierdzeń Pozwanej za przyznane przez stronę przeciwną. Jak podkreśla się w doktrynie, „</w:t>
      </w:r>
      <w:r w:rsidR="00FF65FE" w:rsidRPr="00F86CFA">
        <w:rPr>
          <w:sz w:val="22"/>
        </w:rPr>
        <w:t>w</w:t>
      </w:r>
      <w:r w:rsidR="00D36BC1" w:rsidRPr="00F86CFA">
        <w:rPr>
          <w:sz w:val="22"/>
        </w:rPr>
        <w:t> </w:t>
      </w:r>
      <w:r w:rsidR="009212B3" w:rsidRPr="00F86CFA">
        <w:rPr>
          <w:sz w:val="22"/>
        </w:rPr>
        <w:t>celu zastosowania art. 230 k.p.c.</w:t>
      </w:r>
      <w:r w:rsidRPr="00F86CFA">
        <w:rPr>
          <w:sz w:val="22"/>
        </w:rPr>
        <w:t xml:space="preserve"> sąd musi ustalić, że strona rzeczywiście nie miała zamiaru przeczenia. Jeżeli </w:t>
      </w:r>
      <w:r w:rsidRPr="00F86CFA">
        <w:rPr>
          <w:sz w:val="22"/>
        </w:rPr>
        <w:lastRenderedPageBreak/>
        <w:t>wystąpią w tym zakresie wątpliwości, nie można zastosować tego przepisu”</w:t>
      </w:r>
      <w:r w:rsidR="00F249E4" w:rsidRPr="00F86CFA">
        <w:rPr>
          <w:sz w:val="22"/>
        </w:rPr>
        <w:t xml:space="preserve"> (Paszkowski [w:]</w:t>
      </w:r>
      <w:r w:rsidR="00F86CFA">
        <w:rPr>
          <w:sz w:val="22"/>
        </w:rPr>
        <w:t xml:space="preserve"> T. </w:t>
      </w:r>
      <w:proofErr w:type="spellStart"/>
      <w:r w:rsidR="00F249E4" w:rsidRPr="00F86CFA">
        <w:rPr>
          <w:sz w:val="22"/>
        </w:rPr>
        <w:t>Szanciło</w:t>
      </w:r>
      <w:proofErr w:type="spellEnd"/>
      <w:r w:rsidR="00F249E4" w:rsidRPr="00F86CFA">
        <w:rPr>
          <w:sz w:val="22"/>
        </w:rPr>
        <w:t xml:space="preserve"> (red.), </w:t>
      </w:r>
      <w:r w:rsidR="00F249E4" w:rsidRPr="00F86CFA">
        <w:rPr>
          <w:i/>
          <w:sz w:val="22"/>
        </w:rPr>
        <w:t>Kodeks postępowania cywilnego. Komentarz. Art. 1–505</w:t>
      </w:r>
      <w:r w:rsidR="00F249E4" w:rsidRPr="00F86CFA">
        <w:rPr>
          <w:i/>
          <w:sz w:val="22"/>
          <w:vertAlign w:val="superscript"/>
        </w:rPr>
        <w:t>39</w:t>
      </w:r>
      <w:r w:rsidR="00F249E4" w:rsidRPr="00F86CFA">
        <w:rPr>
          <w:i/>
          <w:sz w:val="22"/>
        </w:rPr>
        <w:t>, t. I,</w:t>
      </w:r>
      <w:r w:rsidR="00F86CFA">
        <w:rPr>
          <w:sz w:val="22"/>
        </w:rPr>
        <w:t xml:space="preserve"> Warszawa 2019, art. </w:t>
      </w:r>
      <w:r w:rsidR="00F249E4" w:rsidRPr="00F86CFA">
        <w:rPr>
          <w:sz w:val="22"/>
        </w:rPr>
        <w:t xml:space="preserve">230, </w:t>
      </w:r>
      <w:proofErr w:type="spellStart"/>
      <w:r w:rsidR="00F249E4" w:rsidRPr="00F86CFA">
        <w:rPr>
          <w:sz w:val="22"/>
        </w:rPr>
        <w:t>nb</w:t>
      </w:r>
      <w:proofErr w:type="spellEnd"/>
      <w:r w:rsidR="00F249E4" w:rsidRPr="00F86CFA">
        <w:rPr>
          <w:sz w:val="22"/>
        </w:rPr>
        <w:t xml:space="preserve"> 2, </w:t>
      </w:r>
      <w:proofErr w:type="spellStart"/>
      <w:r w:rsidR="00F249E4" w:rsidRPr="00F86CFA">
        <w:rPr>
          <w:sz w:val="22"/>
        </w:rPr>
        <w:t>Legalis</w:t>
      </w:r>
      <w:proofErr w:type="spellEnd"/>
      <w:r w:rsidR="00F249E4" w:rsidRPr="00F86CFA">
        <w:rPr>
          <w:sz w:val="22"/>
        </w:rPr>
        <w:t>).</w:t>
      </w:r>
      <w:r w:rsidR="0093369A" w:rsidRPr="00F86CFA">
        <w:rPr>
          <w:sz w:val="22"/>
        </w:rPr>
        <w:t xml:space="preserve"> W orzecznictwie zwraca się uwagę, ż</w:t>
      </w:r>
      <w:r w:rsidR="00D36BC1" w:rsidRPr="00F86CFA">
        <w:rPr>
          <w:sz w:val="22"/>
        </w:rPr>
        <w:t>e</w:t>
      </w:r>
      <w:r w:rsidR="0093369A" w:rsidRPr="00F86CFA">
        <w:rPr>
          <w:sz w:val="22"/>
        </w:rPr>
        <w:t xml:space="preserve"> „nawet milczenie strony przeciwnej nie jest jednoznaczne z uznaniem faktów za przyznane i nie każde twierdzenie strony, któremu nie zaprzeczyła strona przeciwna jest prawdziwe” (wyrok Sądu A</w:t>
      </w:r>
      <w:r w:rsidR="00F86CFA">
        <w:rPr>
          <w:sz w:val="22"/>
        </w:rPr>
        <w:t>pelacyjnego w Gdańsku z dnia 19 </w:t>
      </w:r>
      <w:r w:rsidR="0093369A" w:rsidRPr="00F86CFA">
        <w:rPr>
          <w:sz w:val="22"/>
        </w:rPr>
        <w:t xml:space="preserve">listopada 2013 r. III </w:t>
      </w:r>
      <w:proofErr w:type="spellStart"/>
      <w:r w:rsidR="0093369A" w:rsidRPr="00F86CFA">
        <w:rPr>
          <w:sz w:val="22"/>
        </w:rPr>
        <w:t>AUa</w:t>
      </w:r>
      <w:proofErr w:type="spellEnd"/>
      <w:r w:rsidR="0093369A" w:rsidRPr="00F86CFA">
        <w:rPr>
          <w:sz w:val="22"/>
        </w:rPr>
        <w:t xml:space="preserve"> 391/13</w:t>
      </w:r>
      <w:r w:rsidR="00F249E4" w:rsidRPr="00F86CFA">
        <w:rPr>
          <w:sz w:val="22"/>
        </w:rPr>
        <w:t>, LEX nr 1415844</w:t>
      </w:r>
      <w:r w:rsidR="0093369A" w:rsidRPr="00F86CFA">
        <w:rPr>
          <w:sz w:val="22"/>
        </w:rPr>
        <w:t>)</w:t>
      </w:r>
      <w:r w:rsidR="00FF65FE" w:rsidRPr="00F86CFA">
        <w:rPr>
          <w:sz w:val="22"/>
        </w:rPr>
        <w:t>. Przyjęcie przez Sąd I instancji omawianych okoliczności za bezsporne było więc rażąco błędne.</w:t>
      </w:r>
    </w:p>
    <w:p w14:paraId="444D4697" w14:textId="77777777" w:rsidR="00191C9E" w:rsidRPr="00F86CFA" w:rsidRDefault="00191C9E" w:rsidP="00E671D4">
      <w:pPr>
        <w:ind w:left="0" w:firstLine="0"/>
      </w:pPr>
    </w:p>
    <w:p w14:paraId="784268F8" w14:textId="77777777" w:rsidR="009414C6" w:rsidRPr="00F86CFA" w:rsidRDefault="009414C6" w:rsidP="000D47AA">
      <w:pPr>
        <w:ind w:left="0" w:firstLine="0"/>
      </w:pPr>
    </w:p>
    <w:p w14:paraId="47088E6D" w14:textId="0990AC2F" w:rsidR="009414C6" w:rsidRPr="00F86CFA" w:rsidRDefault="009414C6" w:rsidP="009414C6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bCs/>
        </w:rPr>
        <w:t xml:space="preserve">Zarzuty naruszenia </w:t>
      </w:r>
      <w:r w:rsidR="007E680F" w:rsidRPr="00F86CFA">
        <w:rPr>
          <w:rFonts w:ascii="Times New Roman" w:hAnsi="Times New Roman"/>
          <w:b/>
          <w:bCs/>
        </w:rPr>
        <w:t>prawa materialnego:</w:t>
      </w:r>
    </w:p>
    <w:p w14:paraId="3A4A5DCD" w14:textId="1C83C277" w:rsidR="009D78CA" w:rsidRPr="00F86CFA" w:rsidRDefault="009D78CA" w:rsidP="00702058">
      <w:pPr>
        <w:ind w:left="0" w:firstLine="0"/>
        <w:rPr>
          <w:sz w:val="22"/>
          <w:szCs w:val="22"/>
        </w:rPr>
      </w:pPr>
    </w:p>
    <w:p w14:paraId="05C80C4D" w14:textId="47F04B5D" w:rsidR="00702058" w:rsidRPr="00F86CFA" w:rsidRDefault="00702058" w:rsidP="007E680F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bCs/>
        </w:rPr>
        <w:t>Wybór prawa</w:t>
      </w:r>
      <w:r w:rsidR="00EE7ADC" w:rsidRPr="00F86CFA">
        <w:rPr>
          <w:rFonts w:ascii="Times New Roman" w:hAnsi="Times New Roman"/>
          <w:b/>
          <w:bCs/>
        </w:rPr>
        <w:t xml:space="preserve"> właściwego dla umowy poręczenia</w:t>
      </w:r>
    </w:p>
    <w:p w14:paraId="2D4966F0" w14:textId="77777777" w:rsidR="00702058" w:rsidRPr="00F86CFA" w:rsidRDefault="00702058" w:rsidP="00702058">
      <w:pPr>
        <w:ind w:left="0" w:firstLine="0"/>
        <w:rPr>
          <w:sz w:val="22"/>
          <w:szCs w:val="22"/>
        </w:rPr>
      </w:pPr>
    </w:p>
    <w:p w14:paraId="7FD00A4D" w14:textId="6207F815" w:rsidR="00DE409C" w:rsidRPr="00F86CFA" w:rsidRDefault="00E60E2A" w:rsidP="00702058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We współczesnym obrocie handlowym, który coraz częściej wykracza poza granice jednego państwa (a co za tym idzie – jednego porządku prawnego), konieczne staje się </w:t>
      </w:r>
      <w:r w:rsidR="00EB4FE3" w:rsidRPr="00F86CFA">
        <w:rPr>
          <w:sz w:val="22"/>
          <w:szCs w:val="22"/>
        </w:rPr>
        <w:t>uwzględnienie kwestii prawa właściwego</w:t>
      </w:r>
      <w:r w:rsidRPr="00F86CFA">
        <w:rPr>
          <w:sz w:val="22"/>
          <w:szCs w:val="22"/>
        </w:rPr>
        <w:t xml:space="preserve"> dla danego stosunku prawnego. Istnienie sytuacji prawnych z tzw. elementem transgranicznym siłą rzeczy</w:t>
      </w:r>
      <w:r w:rsidR="00460CAA" w:rsidRPr="00F86CFA">
        <w:rPr>
          <w:sz w:val="22"/>
          <w:szCs w:val="22"/>
        </w:rPr>
        <w:t xml:space="preserve"> może</w:t>
      </w:r>
      <w:r w:rsidRPr="00F86CFA">
        <w:rPr>
          <w:sz w:val="22"/>
          <w:szCs w:val="22"/>
        </w:rPr>
        <w:t xml:space="preserve"> prowadzi</w:t>
      </w:r>
      <w:r w:rsidR="00460CAA" w:rsidRPr="00F86CFA">
        <w:rPr>
          <w:sz w:val="22"/>
          <w:szCs w:val="22"/>
        </w:rPr>
        <w:t>ć</w:t>
      </w:r>
      <w:r w:rsidRPr="00F86CFA">
        <w:rPr>
          <w:sz w:val="22"/>
          <w:szCs w:val="22"/>
        </w:rPr>
        <w:t xml:space="preserve"> do powstania niezgodności między </w:t>
      </w:r>
      <w:r w:rsidR="00460CAA" w:rsidRPr="00F86CFA">
        <w:rPr>
          <w:sz w:val="22"/>
          <w:szCs w:val="22"/>
        </w:rPr>
        <w:t>danymi</w:t>
      </w:r>
      <w:r w:rsidRPr="00F86CFA">
        <w:rPr>
          <w:sz w:val="22"/>
          <w:szCs w:val="22"/>
        </w:rPr>
        <w:t xml:space="preserve"> porządkami prawnymi</w:t>
      </w:r>
      <w:r w:rsidR="00460CAA" w:rsidRPr="00F86CFA">
        <w:rPr>
          <w:sz w:val="22"/>
          <w:szCs w:val="22"/>
        </w:rPr>
        <w:t>. Nie mogąc ignorować tych napięć, ustawodawcy poszczególnych państw wprowadzają do</w:t>
      </w:r>
      <w:r w:rsidR="004B4C0E" w:rsidRPr="00F86CFA">
        <w:rPr>
          <w:sz w:val="22"/>
          <w:szCs w:val="22"/>
        </w:rPr>
        <w:t> </w:t>
      </w:r>
      <w:r w:rsidR="00460CAA" w:rsidRPr="00F86CFA">
        <w:rPr>
          <w:sz w:val="22"/>
          <w:szCs w:val="22"/>
        </w:rPr>
        <w:t xml:space="preserve">swoich systemów normy </w:t>
      </w:r>
      <w:proofErr w:type="spellStart"/>
      <w:r w:rsidR="00460CAA" w:rsidRPr="00F86CFA">
        <w:rPr>
          <w:sz w:val="22"/>
          <w:szCs w:val="22"/>
        </w:rPr>
        <w:t>kolizyjnoprawne</w:t>
      </w:r>
      <w:proofErr w:type="spellEnd"/>
      <w:r w:rsidR="00460CAA" w:rsidRPr="00F86CFA">
        <w:rPr>
          <w:sz w:val="22"/>
          <w:szCs w:val="22"/>
        </w:rPr>
        <w:t xml:space="preserve">, mające na celu rozwiązywanie wyżej wspomnianych konfliktów. W Polsce znajduje w takich przypadkach zastosowanie </w:t>
      </w:r>
      <w:r w:rsidR="00DE409C" w:rsidRPr="00F86CFA">
        <w:rPr>
          <w:sz w:val="22"/>
          <w:szCs w:val="22"/>
        </w:rPr>
        <w:t>ustawa z dnia 4 lutego 2011 r. – Prawo prywatne międzynarodowe (Dz.U. z 2015 r. poz. 1792)</w:t>
      </w:r>
      <w:r w:rsidR="00460CAA" w:rsidRPr="00F86CFA">
        <w:rPr>
          <w:sz w:val="22"/>
          <w:szCs w:val="22"/>
        </w:rPr>
        <w:t>, która</w:t>
      </w:r>
      <w:r w:rsidR="00DE409C" w:rsidRPr="00F86CFA">
        <w:rPr>
          <w:sz w:val="22"/>
          <w:szCs w:val="22"/>
        </w:rPr>
        <w:t xml:space="preserve"> w zakresie zobowiązań umownych obliguje w art. 28 do stosowania</w:t>
      </w:r>
      <w:r w:rsidR="00460CAA" w:rsidRPr="00F86CFA">
        <w:rPr>
          <w:sz w:val="22"/>
          <w:szCs w:val="22"/>
        </w:rPr>
        <w:t xml:space="preserve"> rozporządzenia Rzym I.</w:t>
      </w:r>
    </w:p>
    <w:p w14:paraId="7D9B5E75" w14:textId="77777777" w:rsidR="00DE409C" w:rsidRPr="00F86CFA" w:rsidRDefault="00DE409C" w:rsidP="00702058">
      <w:pPr>
        <w:ind w:left="0" w:firstLine="0"/>
        <w:rPr>
          <w:sz w:val="22"/>
          <w:szCs w:val="22"/>
        </w:rPr>
      </w:pPr>
    </w:p>
    <w:p w14:paraId="72F920EC" w14:textId="639F5E96" w:rsidR="00702058" w:rsidRPr="00F86CFA" w:rsidRDefault="00460CAA" w:rsidP="00702058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Nie podlega dyskusji, że j</w:t>
      </w:r>
      <w:r w:rsidR="00DE409C" w:rsidRPr="00F86CFA">
        <w:rPr>
          <w:sz w:val="22"/>
          <w:szCs w:val="22"/>
        </w:rPr>
        <w:t>edną z głównych zasad w stosunkach</w:t>
      </w:r>
      <w:r w:rsidRPr="00F86CFA">
        <w:rPr>
          <w:sz w:val="22"/>
          <w:szCs w:val="22"/>
        </w:rPr>
        <w:t xml:space="preserve"> prawnych</w:t>
      </w:r>
      <w:r w:rsidR="00DE409C" w:rsidRPr="00F86CFA">
        <w:rPr>
          <w:sz w:val="22"/>
          <w:szCs w:val="22"/>
        </w:rPr>
        <w:t xml:space="preserve"> z elementem zagranicznym jest możliwość wyboru prawa. Najwyższym wyrazem autonomii stron jest bowiem możność poddania kreowanego przez siebie stosunku prawnego prawu, którego poszczególne regulacje w najlepszy sposób uwzględniają interes obu stron. </w:t>
      </w:r>
      <w:r w:rsidR="00702058" w:rsidRPr="00F86CFA">
        <w:rPr>
          <w:sz w:val="22"/>
          <w:szCs w:val="22"/>
        </w:rPr>
        <w:t xml:space="preserve">Zgodnie z art. 3 </w:t>
      </w:r>
      <w:r w:rsidR="00702058" w:rsidRPr="00F86CFA">
        <w:rPr>
          <w:color w:val="333333"/>
          <w:sz w:val="22"/>
          <w:szCs w:val="22"/>
          <w:shd w:val="clear" w:color="auto" w:fill="FFFFFF"/>
        </w:rPr>
        <w:t xml:space="preserve">ust. 1 </w:t>
      </w:r>
      <w:proofErr w:type="spellStart"/>
      <w:r w:rsidR="00702058" w:rsidRPr="00F86CFA">
        <w:rPr>
          <w:color w:val="333333"/>
          <w:sz w:val="22"/>
          <w:szCs w:val="22"/>
          <w:shd w:val="clear" w:color="auto" w:fill="FFFFFF"/>
        </w:rPr>
        <w:t>zd</w:t>
      </w:r>
      <w:proofErr w:type="spellEnd"/>
      <w:r w:rsidR="00702058" w:rsidRPr="00F86CFA">
        <w:rPr>
          <w:color w:val="333333"/>
          <w:sz w:val="22"/>
          <w:szCs w:val="22"/>
          <w:shd w:val="clear" w:color="auto" w:fill="FFFFFF"/>
        </w:rPr>
        <w:t>. 1</w:t>
      </w:r>
      <w:r w:rsidR="00DE409C" w:rsidRPr="00F86CFA">
        <w:rPr>
          <w:color w:val="333333"/>
          <w:sz w:val="22"/>
          <w:szCs w:val="22"/>
          <w:shd w:val="clear" w:color="auto" w:fill="FFFFFF"/>
        </w:rPr>
        <w:t xml:space="preserve"> </w:t>
      </w:r>
      <w:r w:rsidR="00597393" w:rsidRPr="00F86CFA">
        <w:rPr>
          <w:color w:val="333333"/>
          <w:sz w:val="22"/>
          <w:szCs w:val="22"/>
          <w:shd w:val="clear" w:color="auto" w:fill="FFFFFF"/>
        </w:rPr>
        <w:t>rozporządzenia</w:t>
      </w:r>
      <w:r w:rsidRPr="00F86CFA">
        <w:rPr>
          <w:color w:val="333333"/>
          <w:sz w:val="22"/>
          <w:szCs w:val="22"/>
          <w:shd w:val="clear" w:color="auto" w:fill="FFFFFF"/>
        </w:rPr>
        <w:t xml:space="preserve"> Rzym I</w:t>
      </w:r>
      <w:r w:rsidR="00DE409C" w:rsidRPr="00F86CFA">
        <w:rPr>
          <w:color w:val="333333"/>
          <w:sz w:val="22"/>
          <w:szCs w:val="22"/>
          <w:shd w:val="clear" w:color="auto" w:fill="FFFFFF"/>
        </w:rPr>
        <w:t>,</w:t>
      </w:r>
      <w:r w:rsidR="00597393" w:rsidRPr="00F86CFA">
        <w:rPr>
          <w:color w:val="333333"/>
          <w:sz w:val="22"/>
          <w:szCs w:val="22"/>
          <w:shd w:val="clear" w:color="auto" w:fill="FFFFFF"/>
        </w:rPr>
        <w:t xml:space="preserve"> </w:t>
      </w:r>
      <w:r w:rsidR="00702058" w:rsidRPr="00F86CFA">
        <w:rPr>
          <w:sz w:val="22"/>
          <w:szCs w:val="22"/>
        </w:rPr>
        <w:t xml:space="preserve">wybór </w:t>
      </w:r>
      <w:r w:rsidR="00597393" w:rsidRPr="00F86CFA">
        <w:rPr>
          <w:sz w:val="22"/>
          <w:szCs w:val="22"/>
        </w:rPr>
        <w:t xml:space="preserve">prawa </w:t>
      </w:r>
      <w:r w:rsidR="00702058" w:rsidRPr="00F86CFA">
        <w:rPr>
          <w:sz w:val="22"/>
          <w:szCs w:val="22"/>
        </w:rPr>
        <w:t>może być dokonany w drodze wyraźnych oświadczeń woli stron lub w sposób dorozumiany, w</w:t>
      </w:r>
      <w:r w:rsidR="004B4C0E" w:rsidRPr="00F86CFA">
        <w:rPr>
          <w:sz w:val="22"/>
          <w:szCs w:val="22"/>
        </w:rPr>
        <w:t> </w:t>
      </w:r>
      <w:proofErr w:type="gramStart"/>
      <w:r w:rsidR="00F86CFA">
        <w:rPr>
          <w:sz w:val="22"/>
          <w:szCs w:val="22"/>
        </w:rPr>
        <w:t>sytuacji</w:t>
      </w:r>
      <w:proofErr w:type="gramEnd"/>
      <w:r w:rsidR="00F86CFA">
        <w:rPr>
          <w:sz w:val="22"/>
          <w:szCs w:val="22"/>
        </w:rPr>
        <w:t xml:space="preserve"> w </w:t>
      </w:r>
      <w:r w:rsidR="00702058" w:rsidRPr="00F86CFA">
        <w:rPr>
          <w:sz w:val="22"/>
          <w:szCs w:val="22"/>
        </w:rPr>
        <w:t xml:space="preserve">której wynika </w:t>
      </w:r>
      <w:r w:rsidR="00597393" w:rsidRPr="00F86CFA">
        <w:rPr>
          <w:sz w:val="22"/>
          <w:szCs w:val="22"/>
        </w:rPr>
        <w:t xml:space="preserve">to </w:t>
      </w:r>
      <w:r w:rsidR="00702058" w:rsidRPr="00F86CFA">
        <w:rPr>
          <w:sz w:val="22"/>
          <w:szCs w:val="22"/>
        </w:rPr>
        <w:t>w sposób jednoznaczny z postanowień umowy lub z okoliczności sprawy</w:t>
      </w:r>
      <w:r w:rsidR="006E4AA2" w:rsidRPr="00F86CFA">
        <w:rPr>
          <w:sz w:val="22"/>
          <w:szCs w:val="22"/>
        </w:rPr>
        <w:t xml:space="preserve">. </w:t>
      </w:r>
      <w:r w:rsidR="00F86CFA">
        <w:rPr>
          <w:sz w:val="22"/>
          <w:szCs w:val="22"/>
        </w:rPr>
        <w:t>W </w:t>
      </w:r>
      <w:r w:rsidR="00702058" w:rsidRPr="00F86CFA">
        <w:rPr>
          <w:sz w:val="22"/>
          <w:szCs w:val="22"/>
        </w:rPr>
        <w:t>doktryni</w:t>
      </w:r>
      <w:r w:rsidR="00597393" w:rsidRPr="00F86CFA">
        <w:rPr>
          <w:sz w:val="22"/>
          <w:szCs w:val="22"/>
        </w:rPr>
        <w:t xml:space="preserve">e wskazuje się, że jedną z form </w:t>
      </w:r>
      <w:r w:rsidR="00702058" w:rsidRPr="00F86CFA">
        <w:rPr>
          <w:sz w:val="22"/>
          <w:szCs w:val="22"/>
        </w:rPr>
        <w:t>wyboru dorozumianego jes</w:t>
      </w:r>
      <w:r w:rsidR="00F86CFA">
        <w:rPr>
          <w:sz w:val="22"/>
          <w:szCs w:val="22"/>
        </w:rPr>
        <w:t>t powołanie się przez strony na </w:t>
      </w:r>
      <w:r w:rsidR="00702058" w:rsidRPr="00F86CFA">
        <w:rPr>
          <w:sz w:val="22"/>
          <w:szCs w:val="22"/>
        </w:rPr>
        <w:t xml:space="preserve">konkretny przepis określonego systemu prawnego. Nie jest to jednak okoliczność samodzielna przesądzająca o wyborze prawa – należy dodatkowo przeanalizować czy przywołanie określonej normy zostało dokonane w związku z zamiarem wyboru prawa, który to zamiar przejawia się w innych postanowieniach umownych lub okolicznościach zawarcia umowy (M. Pazdan, </w:t>
      </w:r>
      <w:r w:rsidR="00702058" w:rsidRPr="00F86CFA">
        <w:rPr>
          <w:i/>
          <w:sz w:val="22"/>
          <w:szCs w:val="22"/>
        </w:rPr>
        <w:t>Rozporządzenie Parlamentu Europejskiego i Rady (WE) Nr 593/2008 w sprawie prawa właściwego dla zobowiązań umownych (Rzym I). Komentarz</w:t>
      </w:r>
      <w:r w:rsidR="00702058" w:rsidRPr="00F86CFA">
        <w:rPr>
          <w:sz w:val="22"/>
          <w:szCs w:val="22"/>
        </w:rPr>
        <w:t xml:space="preserve"> [w:] M. Pazdan (red.), </w:t>
      </w:r>
      <w:r w:rsidR="00702058" w:rsidRPr="00F86CFA">
        <w:rPr>
          <w:i/>
          <w:sz w:val="22"/>
          <w:szCs w:val="22"/>
        </w:rPr>
        <w:t>Prawo prywatne międzynarodowe. Komentarz</w:t>
      </w:r>
      <w:r w:rsidR="00702058" w:rsidRPr="00F86CFA">
        <w:rPr>
          <w:sz w:val="22"/>
          <w:szCs w:val="22"/>
        </w:rPr>
        <w:t xml:space="preserve">, Warszawa 2018, art. 3, </w:t>
      </w:r>
      <w:proofErr w:type="spellStart"/>
      <w:r w:rsidR="00702058" w:rsidRPr="00F86CFA">
        <w:rPr>
          <w:sz w:val="22"/>
          <w:szCs w:val="22"/>
        </w:rPr>
        <w:t>nb</w:t>
      </w:r>
      <w:proofErr w:type="spellEnd"/>
      <w:r w:rsidR="00702058" w:rsidRPr="00F86CFA">
        <w:rPr>
          <w:sz w:val="22"/>
          <w:szCs w:val="22"/>
        </w:rPr>
        <w:t xml:space="preserve"> 34). </w:t>
      </w:r>
    </w:p>
    <w:p w14:paraId="323B883E" w14:textId="30E67D3A" w:rsidR="00702058" w:rsidRPr="00F86CFA" w:rsidRDefault="00702058" w:rsidP="00702058">
      <w:pPr>
        <w:ind w:left="0" w:firstLine="0"/>
        <w:rPr>
          <w:sz w:val="22"/>
          <w:szCs w:val="22"/>
        </w:rPr>
      </w:pPr>
    </w:p>
    <w:p w14:paraId="07FBD203" w14:textId="388ED94F" w:rsidR="006F39E8" w:rsidRPr="00F86CFA" w:rsidRDefault="00702058" w:rsidP="00D41709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Przenosząc powyższe na kanwę niniejszej sprawy należy wskazać, że w treści umowy poręczenia</w:t>
      </w:r>
      <w:r w:rsidR="00D41709" w:rsidRPr="00F86CFA">
        <w:rPr>
          <w:sz w:val="22"/>
          <w:szCs w:val="22"/>
        </w:rPr>
        <w:t xml:space="preserve"> (§ 2)</w:t>
      </w:r>
      <w:r w:rsidRPr="00F86CFA">
        <w:rPr>
          <w:sz w:val="22"/>
          <w:szCs w:val="22"/>
        </w:rPr>
        <w:t xml:space="preserve"> strony zawarły odwołanie do dwóch norm prawa niemieckiego, tj. § 770 i 771 niemieckiego kodeksu cywilnego. Dodatkowo </w:t>
      </w:r>
      <w:r w:rsidR="00D41709" w:rsidRPr="00F86CFA">
        <w:rPr>
          <w:sz w:val="22"/>
          <w:szCs w:val="22"/>
        </w:rPr>
        <w:t>należy wskazać, że cały tekst umowy został sporządzony n</w:t>
      </w:r>
      <w:r w:rsidR="00597393" w:rsidRPr="00F86CFA">
        <w:rPr>
          <w:sz w:val="22"/>
          <w:szCs w:val="22"/>
        </w:rPr>
        <w:t xml:space="preserve">a gruncie porządku niemieckiego, </w:t>
      </w:r>
      <w:r w:rsidR="00D41709" w:rsidRPr="00F86CFA">
        <w:rPr>
          <w:sz w:val="22"/>
          <w:szCs w:val="22"/>
        </w:rPr>
        <w:t>w związku z okolicznością, iż powodem zawarcia przedmiotowej umowy</w:t>
      </w:r>
      <w:r w:rsidR="004B4C0E" w:rsidRPr="00F86CFA">
        <w:rPr>
          <w:sz w:val="22"/>
          <w:szCs w:val="22"/>
        </w:rPr>
        <w:t xml:space="preserve"> </w:t>
      </w:r>
      <w:r w:rsidR="00D41709" w:rsidRPr="00F86CFA">
        <w:rPr>
          <w:sz w:val="22"/>
          <w:szCs w:val="22"/>
        </w:rPr>
        <w:t>była współpra</w:t>
      </w:r>
      <w:r w:rsidR="00597393" w:rsidRPr="00F86CFA">
        <w:rPr>
          <w:sz w:val="22"/>
          <w:szCs w:val="22"/>
        </w:rPr>
        <w:t>ca między spółką p</w:t>
      </w:r>
      <w:r w:rsidR="00D41709" w:rsidRPr="00F86CFA">
        <w:rPr>
          <w:sz w:val="22"/>
          <w:szCs w:val="22"/>
        </w:rPr>
        <w:t xml:space="preserve">owodową, a HB Bank GmbH w oparciu o model obejmujący udzielenie </w:t>
      </w:r>
      <w:r w:rsidR="00F86CFA">
        <w:rPr>
          <w:i/>
          <w:sz w:val="22"/>
          <w:szCs w:val="22"/>
        </w:rPr>
        <w:t>del </w:t>
      </w:r>
      <w:proofErr w:type="spellStart"/>
      <w:r w:rsidR="00D41709" w:rsidRPr="00F86CFA">
        <w:rPr>
          <w:i/>
          <w:sz w:val="22"/>
          <w:szCs w:val="22"/>
        </w:rPr>
        <w:t>credere</w:t>
      </w:r>
      <w:proofErr w:type="spellEnd"/>
      <w:r w:rsidR="00D41709" w:rsidRPr="00F86CFA">
        <w:rPr>
          <w:sz w:val="22"/>
          <w:szCs w:val="22"/>
        </w:rPr>
        <w:t xml:space="preserve">, </w:t>
      </w:r>
      <w:r w:rsidR="00597393" w:rsidRPr="00F86CFA">
        <w:rPr>
          <w:sz w:val="22"/>
          <w:szCs w:val="22"/>
        </w:rPr>
        <w:t>która to instytucja pozostaje charakterystyczna</w:t>
      </w:r>
      <w:r w:rsidR="00D41709" w:rsidRPr="00F86CFA">
        <w:rPr>
          <w:sz w:val="22"/>
          <w:szCs w:val="22"/>
        </w:rPr>
        <w:t xml:space="preserve"> dla niemieckiego porządku prawnego. Powyższe okolicznośc</w:t>
      </w:r>
      <w:r w:rsidR="00597393" w:rsidRPr="00F86CFA">
        <w:rPr>
          <w:sz w:val="22"/>
          <w:szCs w:val="22"/>
        </w:rPr>
        <w:t xml:space="preserve">i nie tylko były znane zarówno </w:t>
      </w:r>
      <w:r w:rsidR="006E4AA2" w:rsidRPr="00F86CFA">
        <w:rPr>
          <w:sz w:val="22"/>
          <w:szCs w:val="22"/>
        </w:rPr>
        <w:t>P</w:t>
      </w:r>
      <w:r w:rsidR="00D41709" w:rsidRPr="00F86CFA">
        <w:rPr>
          <w:sz w:val="22"/>
          <w:szCs w:val="22"/>
        </w:rPr>
        <w:t>ozwanej, jak i dłużnikowi głównemu, ale</w:t>
      </w:r>
      <w:r w:rsidR="004B4C0E" w:rsidRPr="00F86CFA">
        <w:rPr>
          <w:sz w:val="22"/>
          <w:szCs w:val="22"/>
        </w:rPr>
        <w:t> </w:t>
      </w:r>
      <w:r w:rsidR="00D41709" w:rsidRPr="00F86CFA">
        <w:rPr>
          <w:sz w:val="22"/>
          <w:szCs w:val="22"/>
        </w:rPr>
        <w:t>również były przez wskazane podmioty tolerowane i akceptowane, o czym świadczy akceptacja Ogólnych warunków handlowych HB Bank GmbH oraz Szczególnych warunków handlowych HB</w:t>
      </w:r>
      <w:r w:rsidR="004B4C0E" w:rsidRPr="00F86CFA">
        <w:rPr>
          <w:sz w:val="22"/>
          <w:szCs w:val="22"/>
        </w:rPr>
        <w:t> </w:t>
      </w:r>
      <w:r w:rsidR="00D41709" w:rsidRPr="00F86CFA">
        <w:rPr>
          <w:sz w:val="22"/>
          <w:szCs w:val="22"/>
        </w:rPr>
        <w:t xml:space="preserve">Bank GmbH dotyczących realizacji centralnej regulacji płatności z przejęciem </w:t>
      </w:r>
      <w:r w:rsidR="00D41709" w:rsidRPr="00F86CFA">
        <w:rPr>
          <w:i/>
          <w:sz w:val="22"/>
          <w:szCs w:val="22"/>
        </w:rPr>
        <w:t xml:space="preserve">del </w:t>
      </w:r>
      <w:proofErr w:type="spellStart"/>
      <w:r w:rsidR="00D41709" w:rsidRPr="00F86CFA">
        <w:rPr>
          <w:i/>
          <w:sz w:val="22"/>
          <w:szCs w:val="22"/>
        </w:rPr>
        <w:t>credere</w:t>
      </w:r>
      <w:proofErr w:type="spellEnd"/>
      <w:r w:rsidR="00D41709" w:rsidRPr="00F86CFA">
        <w:rPr>
          <w:sz w:val="22"/>
          <w:szCs w:val="22"/>
        </w:rPr>
        <w:t xml:space="preserve"> dokonana przez Prezesa Zarządu „Nowak-Moda” Sp. z o.o. w oświadczeniu z dnia 20</w:t>
      </w:r>
      <w:r w:rsidR="004B4C0E" w:rsidRPr="00F86CFA">
        <w:rPr>
          <w:sz w:val="22"/>
          <w:szCs w:val="22"/>
        </w:rPr>
        <w:t> </w:t>
      </w:r>
      <w:r w:rsidR="00D41709" w:rsidRPr="00F86CFA">
        <w:rPr>
          <w:sz w:val="22"/>
          <w:szCs w:val="22"/>
        </w:rPr>
        <w:t>września</w:t>
      </w:r>
      <w:r w:rsidR="004B4C0E" w:rsidRPr="00F86CFA">
        <w:rPr>
          <w:sz w:val="22"/>
          <w:szCs w:val="22"/>
        </w:rPr>
        <w:t> </w:t>
      </w:r>
      <w:r w:rsidR="00D41709" w:rsidRPr="00F86CFA">
        <w:rPr>
          <w:sz w:val="22"/>
          <w:szCs w:val="22"/>
        </w:rPr>
        <w:t>2017</w:t>
      </w:r>
      <w:r w:rsidR="004B4C0E" w:rsidRPr="00F86CFA">
        <w:rPr>
          <w:sz w:val="22"/>
          <w:szCs w:val="22"/>
        </w:rPr>
        <w:t> </w:t>
      </w:r>
      <w:r w:rsidR="00D41709" w:rsidRPr="00F86CFA">
        <w:rPr>
          <w:sz w:val="22"/>
          <w:szCs w:val="22"/>
        </w:rPr>
        <w:t xml:space="preserve">r. Wskazane okoliczności były objęte również świadomością </w:t>
      </w:r>
      <w:r w:rsidR="006E4AA2" w:rsidRPr="00F86CFA">
        <w:rPr>
          <w:sz w:val="22"/>
          <w:szCs w:val="22"/>
        </w:rPr>
        <w:t>P</w:t>
      </w:r>
      <w:r w:rsidR="00D41709" w:rsidRPr="00F86CFA">
        <w:rPr>
          <w:sz w:val="22"/>
          <w:szCs w:val="22"/>
        </w:rPr>
        <w:t xml:space="preserve">ozwanej, która </w:t>
      </w:r>
      <w:r w:rsidR="00707405" w:rsidRPr="00F86CFA">
        <w:rPr>
          <w:sz w:val="22"/>
          <w:szCs w:val="22"/>
        </w:rPr>
        <w:t>prowadząc profesjonalnie biuro</w:t>
      </w:r>
      <w:r w:rsidR="00F40168" w:rsidRPr="00F86CFA">
        <w:rPr>
          <w:sz w:val="22"/>
          <w:szCs w:val="22"/>
        </w:rPr>
        <w:t xml:space="preserve"> spółki </w:t>
      </w:r>
      <w:r w:rsidR="00721B3B" w:rsidRPr="00F86CFA">
        <w:rPr>
          <w:sz w:val="22"/>
          <w:szCs w:val="22"/>
        </w:rPr>
        <w:t>męża zdawała sobie sprawę z uwarunkowań dotychczasowej współpracy. Dodatkową okolicznością świadczącą o uwarunkowaniach towarzyszących stronom w związku z dokonywaniem wyboru prawa jest uznanie, ż</w:t>
      </w:r>
      <w:r w:rsidR="00D41709" w:rsidRPr="00F86CFA">
        <w:rPr>
          <w:sz w:val="22"/>
          <w:szCs w:val="22"/>
        </w:rPr>
        <w:t xml:space="preserve">e to właśnie niemiecka wersja językowa umowy </w:t>
      </w:r>
      <w:r w:rsidR="00597393" w:rsidRPr="00F86CFA">
        <w:rPr>
          <w:sz w:val="22"/>
          <w:szCs w:val="22"/>
        </w:rPr>
        <w:t>stanie się tekstem autentycznym</w:t>
      </w:r>
      <w:r w:rsidR="00721B3B" w:rsidRPr="00F86CFA">
        <w:rPr>
          <w:sz w:val="22"/>
          <w:szCs w:val="22"/>
        </w:rPr>
        <w:t>. Powyższe okoliczności odczytywane w sposób łączny prowadzić muszą do uznania, ż</w:t>
      </w:r>
      <w:r w:rsidR="004B4C0E" w:rsidRPr="00F86CFA">
        <w:rPr>
          <w:sz w:val="22"/>
          <w:szCs w:val="22"/>
        </w:rPr>
        <w:t>e</w:t>
      </w:r>
      <w:r w:rsidR="00721B3B" w:rsidRPr="00F86CFA">
        <w:rPr>
          <w:sz w:val="22"/>
          <w:szCs w:val="22"/>
        </w:rPr>
        <w:t xml:space="preserve"> strony dokonały </w:t>
      </w:r>
      <w:r w:rsidR="00721B3B" w:rsidRPr="00F86CFA">
        <w:rPr>
          <w:sz w:val="22"/>
          <w:szCs w:val="22"/>
        </w:rPr>
        <w:lastRenderedPageBreak/>
        <w:t>wyboru prawa niemieckiego dla zawartej przez siebie w dniu 23 października 2017 r. umowy poręczenia.</w:t>
      </w:r>
    </w:p>
    <w:p w14:paraId="5F94C2B5" w14:textId="77777777" w:rsidR="0043639E" w:rsidRPr="00F86CFA" w:rsidRDefault="0043639E" w:rsidP="00D41709">
      <w:pPr>
        <w:ind w:left="0" w:firstLine="0"/>
        <w:rPr>
          <w:sz w:val="22"/>
          <w:szCs w:val="22"/>
        </w:rPr>
      </w:pPr>
    </w:p>
    <w:p w14:paraId="4AD72F8A" w14:textId="1D56BB1A" w:rsidR="0043639E" w:rsidRPr="00F86CFA" w:rsidRDefault="0043639E" w:rsidP="0043639E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bCs/>
        </w:rPr>
        <w:t>Status pozwanej jako konsumenta</w:t>
      </w:r>
    </w:p>
    <w:p w14:paraId="70FE21DF" w14:textId="60664EA9" w:rsidR="00721B3B" w:rsidRPr="00F86CFA" w:rsidRDefault="00721B3B" w:rsidP="00D41709">
      <w:pPr>
        <w:ind w:left="0" w:firstLine="0"/>
        <w:rPr>
          <w:sz w:val="22"/>
          <w:szCs w:val="22"/>
        </w:rPr>
      </w:pPr>
    </w:p>
    <w:p w14:paraId="62C53184" w14:textId="761A6C50" w:rsidR="00727C3F" w:rsidRPr="00F86CFA" w:rsidRDefault="0043639E" w:rsidP="00D93B90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Zgodnie z definicją przyjętą w art. 6 ust. 1 rozporządzenia Rzym I, konsumentem jest </w:t>
      </w:r>
      <w:r w:rsidR="00E51EDC" w:rsidRPr="00F86CFA">
        <w:rPr>
          <w:sz w:val="22"/>
          <w:szCs w:val="22"/>
        </w:rPr>
        <w:t>osoba fizyczna, która zawiera umowę w celu, który można uznać za niezwiązany z jej działalnością gospodarczą lub</w:t>
      </w:r>
      <w:r w:rsidR="004B4C0E" w:rsidRPr="00F86CFA">
        <w:rPr>
          <w:sz w:val="22"/>
          <w:szCs w:val="22"/>
        </w:rPr>
        <w:t> </w:t>
      </w:r>
      <w:r w:rsidR="00E51EDC" w:rsidRPr="00F86CFA">
        <w:rPr>
          <w:sz w:val="22"/>
          <w:szCs w:val="22"/>
        </w:rPr>
        <w:t xml:space="preserve">zawodową. Niewątpliwe jest, że </w:t>
      </w:r>
      <w:r w:rsidR="004B4C0E" w:rsidRPr="00F86CFA">
        <w:rPr>
          <w:sz w:val="22"/>
          <w:szCs w:val="22"/>
        </w:rPr>
        <w:t>P</w:t>
      </w:r>
      <w:r w:rsidR="00E51EDC" w:rsidRPr="00F86CFA">
        <w:rPr>
          <w:sz w:val="22"/>
          <w:szCs w:val="22"/>
        </w:rPr>
        <w:t xml:space="preserve">ozwana – jako </w:t>
      </w:r>
      <w:r w:rsidR="008B2ACC" w:rsidRPr="00F86CFA">
        <w:rPr>
          <w:sz w:val="22"/>
          <w:szCs w:val="22"/>
        </w:rPr>
        <w:t>osoba</w:t>
      </w:r>
      <w:r w:rsidR="000D47AA" w:rsidRPr="00F86CFA">
        <w:rPr>
          <w:sz w:val="22"/>
          <w:szCs w:val="22"/>
        </w:rPr>
        <w:t xml:space="preserve"> </w:t>
      </w:r>
      <w:r w:rsidR="00E51EDC" w:rsidRPr="00F86CFA">
        <w:rPr>
          <w:sz w:val="22"/>
          <w:szCs w:val="22"/>
        </w:rPr>
        <w:t>zajmująca się sprawami księgowymi i</w:t>
      </w:r>
      <w:r w:rsidR="004B4C0E" w:rsidRPr="00F86CFA">
        <w:rPr>
          <w:sz w:val="22"/>
          <w:szCs w:val="22"/>
        </w:rPr>
        <w:t> </w:t>
      </w:r>
      <w:r w:rsidR="00E51EDC" w:rsidRPr="00F86CFA">
        <w:rPr>
          <w:sz w:val="22"/>
          <w:szCs w:val="22"/>
        </w:rPr>
        <w:t xml:space="preserve">tłumaczeniami – </w:t>
      </w:r>
      <w:r w:rsidR="00643CEA" w:rsidRPr="00F86CFA">
        <w:rPr>
          <w:sz w:val="22"/>
          <w:szCs w:val="22"/>
        </w:rPr>
        <w:t xml:space="preserve">podejmowała czynności </w:t>
      </w:r>
      <w:r w:rsidR="00E51EDC" w:rsidRPr="00F86CFA">
        <w:rPr>
          <w:sz w:val="22"/>
          <w:szCs w:val="22"/>
        </w:rPr>
        <w:t xml:space="preserve">w ramach </w:t>
      </w:r>
      <w:r w:rsidR="00643CEA" w:rsidRPr="00F86CFA">
        <w:rPr>
          <w:sz w:val="22"/>
          <w:szCs w:val="22"/>
        </w:rPr>
        <w:t xml:space="preserve">działalności </w:t>
      </w:r>
      <w:r w:rsidR="00E51EDC" w:rsidRPr="00F86CFA">
        <w:rPr>
          <w:sz w:val="22"/>
          <w:szCs w:val="22"/>
        </w:rPr>
        <w:t xml:space="preserve">spółki swojego męża i w </w:t>
      </w:r>
      <w:r w:rsidR="008B2ACC" w:rsidRPr="00F86CFA">
        <w:rPr>
          <w:sz w:val="22"/>
          <w:szCs w:val="22"/>
        </w:rPr>
        <w:t xml:space="preserve">tym </w:t>
      </w:r>
      <w:r w:rsidR="00E51EDC" w:rsidRPr="00F86CFA">
        <w:rPr>
          <w:sz w:val="22"/>
          <w:szCs w:val="22"/>
        </w:rPr>
        <w:t>charakterze zawarła umowę poręczenia</w:t>
      </w:r>
      <w:r w:rsidR="00D93B90" w:rsidRPr="00F86CFA">
        <w:rPr>
          <w:sz w:val="22"/>
          <w:szCs w:val="22"/>
        </w:rPr>
        <w:t>, co wyklucza uznanie ją za konsumenta</w:t>
      </w:r>
      <w:r w:rsidR="00E51EDC" w:rsidRPr="00F86CFA">
        <w:rPr>
          <w:sz w:val="22"/>
          <w:szCs w:val="22"/>
        </w:rPr>
        <w:t>.</w:t>
      </w:r>
    </w:p>
    <w:p w14:paraId="01FA103F" w14:textId="77777777" w:rsidR="00727C3F" w:rsidRPr="00F86CFA" w:rsidRDefault="00727C3F" w:rsidP="00D93B90">
      <w:pPr>
        <w:ind w:left="0" w:firstLine="0"/>
        <w:rPr>
          <w:sz w:val="22"/>
          <w:szCs w:val="22"/>
        </w:rPr>
      </w:pPr>
    </w:p>
    <w:p w14:paraId="33D92F37" w14:textId="3FACE4DD" w:rsidR="00D93B90" w:rsidRPr="00F86CFA" w:rsidRDefault="008B2ACC" w:rsidP="00D93B90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Należy tu zaznaczyć, że w orzecznictwie TSUE dotyczącym zagadnień </w:t>
      </w:r>
      <w:proofErr w:type="spellStart"/>
      <w:r w:rsidRPr="00F86CFA">
        <w:rPr>
          <w:sz w:val="22"/>
          <w:szCs w:val="22"/>
        </w:rPr>
        <w:t>kolizyjnoprawnych</w:t>
      </w:r>
      <w:proofErr w:type="spellEnd"/>
      <w:r w:rsidRPr="00F86CFA">
        <w:rPr>
          <w:sz w:val="22"/>
          <w:szCs w:val="22"/>
        </w:rPr>
        <w:t xml:space="preserve"> przyjmuje się</w:t>
      </w:r>
      <w:r w:rsidR="00D93B90" w:rsidRPr="00F86CFA">
        <w:rPr>
          <w:sz w:val="22"/>
          <w:szCs w:val="22"/>
        </w:rPr>
        <w:t xml:space="preserve"> wąską definicję </w:t>
      </w:r>
      <w:r w:rsidR="00643CEA" w:rsidRPr="00F86CFA">
        <w:rPr>
          <w:sz w:val="22"/>
          <w:szCs w:val="22"/>
        </w:rPr>
        <w:t xml:space="preserve">pojęcia </w:t>
      </w:r>
      <w:r w:rsidR="00D93B90" w:rsidRPr="00F86CFA">
        <w:rPr>
          <w:sz w:val="22"/>
          <w:szCs w:val="22"/>
        </w:rPr>
        <w:t>konsumenta; nawet w sytuacji zawarcia umowy mającej jedynie częściowy związek z działalnością gospodarczą, kontrahent nie może powoływać się na status konsumenta „za</w:t>
      </w:r>
      <w:r w:rsidR="004B4C0E" w:rsidRPr="00F86CFA">
        <w:rPr>
          <w:sz w:val="22"/>
          <w:szCs w:val="22"/>
        </w:rPr>
        <w:t> </w:t>
      </w:r>
      <w:r w:rsidR="00D93B90" w:rsidRPr="00F86CFA">
        <w:rPr>
          <w:sz w:val="22"/>
          <w:szCs w:val="22"/>
        </w:rPr>
        <w:t xml:space="preserve">wyjątkiem sytuacji, gdy użytek gospodarczy jest zupełnie marginalny do tego stopnia, iż odgrywa jedynie nikłą rolę w ogólnym kontekście danej transakcji” (wyrok Trybunału Sprawiedliwości z dnia 20 stycznia 2005 r. </w:t>
      </w:r>
      <w:r w:rsidR="0068797F" w:rsidRPr="00F86CFA">
        <w:rPr>
          <w:i/>
          <w:sz w:val="22"/>
          <w:szCs w:val="22"/>
        </w:rPr>
        <w:t>Gruber</w:t>
      </w:r>
      <w:r w:rsidR="0068797F" w:rsidRPr="00F86CFA">
        <w:rPr>
          <w:sz w:val="22"/>
          <w:szCs w:val="22"/>
        </w:rPr>
        <w:t>, C-464/01, EU:C:2005:32</w:t>
      </w:r>
      <w:r w:rsidR="00E428C6" w:rsidRPr="00F86CFA">
        <w:rPr>
          <w:sz w:val="22"/>
          <w:szCs w:val="22"/>
        </w:rPr>
        <w:t>, pkt 39</w:t>
      </w:r>
      <w:r w:rsidR="00D93B90" w:rsidRPr="00F86CFA">
        <w:rPr>
          <w:sz w:val="22"/>
          <w:szCs w:val="22"/>
        </w:rPr>
        <w:t xml:space="preserve">). </w:t>
      </w:r>
      <w:r w:rsidR="0068797F" w:rsidRPr="00F86CFA">
        <w:rPr>
          <w:sz w:val="22"/>
          <w:szCs w:val="22"/>
        </w:rPr>
        <w:t xml:space="preserve">Omawiany wyjątek nie </w:t>
      </w:r>
      <w:r w:rsidR="00BC34A7" w:rsidRPr="00F86CFA">
        <w:rPr>
          <w:sz w:val="22"/>
          <w:szCs w:val="22"/>
        </w:rPr>
        <w:t xml:space="preserve">może znaleźć zastosowania w niniejszej </w:t>
      </w:r>
      <w:r w:rsidR="005C3A63" w:rsidRPr="00F86CFA">
        <w:rPr>
          <w:sz w:val="22"/>
          <w:szCs w:val="22"/>
        </w:rPr>
        <w:t>sprawie</w:t>
      </w:r>
      <w:r w:rsidR="00BC34A7" w:rsidRPr="00F86CFA">
        <w:rPr>
          <w:sz w:val="22"/>
          <w:szCs w:val="22"/>
        </w:rPr>
        <w:t xml:space="preserve">, ponieważ zawarta umowa służyła wyłącznie umożliwieniu prowadzenia działalności zarobkowej przez męża Pozwanej, w ramach której także ona sama podejmowała czynności. </w:t>
      </w:r>
      <w:r w:rsidR="00E428C6" w:rsidRPr="00F86CFA">
        <w:rPr>
          <w:sz w:val="22"/>
          <w:szCs w:val="22"/>
        </w:rPr>
        <w:t xml:space="preserve">Jak wskazuje Trybunał Sprawiedliwości „jedynie umowy zawarte </w:t>
      </w:r>
      <w:r w:rsidR="00E428C6" w:rsidRPr="00F86CFA">
        <w:rPr>
          <w:b/>
          <w:sz w:val="22"/>
          <w:szCs w:val="22"/>
        </w:rPr>
        <w:t>poza i</w:t>
      </w:r>
      <w:r w:rsidR="004B4C0E" w:rsidRPr="00F86CFA">
        <w:rPr>
          <w:b/>
          <w:sz w:val="22"/>
          <w:szCs w:val="22"/>
        </w:rPr>
        <w:t> </w:t>
      </w:r>
      <w:r w:rsidR="00E428C6" w:rsidRPr="00F86CFA">
        <w:rPr>
          <w:b/>
          <w:sz w:val="22"/>
          <w:szCs w:val="22"/>
        </w:rPr>
        <w:t>niezależnie od jakiejkolwiek działalności lub jakiegokolwiek celu gospodarczego</w:t>
      </w:r>
      <w:r w:rsidR="00E428C6" w:rsidRPr="00F86CFA">
        <w:rPr>
          <w:sz w:val="22"/>
          <w:szCs w:val="22"/>
        </w:rPr>
        <w:t>, tj. zawarte jedynie w celu zaspokojenia własnych prywatnych potrzeb konsumpcyjnych osoby, są objęte zakresem szczególnego reżimu przewidzianego w tej Konwencji w dziedzinie ochrony konsumenta jako strony uważanej za słabą, podczas gdy tego typu ochrona nie znajduje uzasadnienia w przypadku umów, których celem jest działalność gospodarcza” (wyrok Trybunału Sprawiedliwości z</w:t>
      </w:r>
      <w:r w:rsidR="004B4C0E" w:rsidRPr="00F86CFA">
        <w:rPr>
          <w:sz w:val="22"/>
          <w:szCs w:val="22"/>
        </w:rPr>
        <w:t> </w:t>
      </w:r>
      <w:r w:rsidR="00E428C6" w:rsidRPr="00F86CFA">
        <w:rPr>
          <w:sz w:val="22"/>
          <w:szCs w:val="22"/>
        </w:rPr>
        <w:t>dnia</w:t>
      </w:r>
      <w:r w:rsidR="004B4C0E" w:rsidRPr="00F86CFA">
        <w:rPr>
          <w:sz w:val="22"/>
          <w:szCs w:val="22"/>
        </w:rPr>
        <w:t> </w:t>
      </w:r>
      <w:r w:rsidR="00E428C6" w:rsidRPr="00F86CFA">
        <w:rPr>
          <w:sz w:val="22"/>
          <w:szCs w:val="22"/>
        </w:rPr>
        <w:t>20</w:t>
      </w:r>
      <w:r w:rsidR="004B4C0E" w:rsidRPr="00F86CFA">
        <w:rPr>
          <w:sz w:val="22"/>
          <w:szCs w:val="22"/>
        </w:rPr>
        <w:t> </w:t>
      </w:r>
      <w:r w:rsidR="00F86CFA">
        <w:rPr>
          <w:sz w:val="22"/>
          <w:szCs w:val="22"/>
        </w:rPr>
        <w:t>stycznia 2005 </w:t>
      </w:r>
      <w:r w:rsidR="00E428C6" w:rsidRPr="00F86CFA">
        <w:rPr>
          <w:sz w:val="22"/>
          <w:szCs w:val="22"/>
        </w:rPr>
        <w:t xml:space="preserve">r. </w:t>
      </w:r>
      <w:r w:rsidR="00E428C6" w:rsidRPr="00F86CFA">
        <w:rPr>
          <w:i/>
          <w:sz w:val="22"/>
          <w:szCs w:val="22"/>
        </w:rPr>
        <w:t>Gruber</w:t>
      </w:r>
      <w:r w:rsidR="00E428C6" w:rsidRPr="00F86CFA">
        <w:rPr>
          <w:sz w:val="22"/>
          <w:szCs w:val="22"/>
        </w:rPr>
        <w:t>, C-464/01, EU:C:2005:32, pkt 36)</w:t>
      </w:r>
      <w:r w:rsidR="001E276B" w:rsidRPr="00F86CFA">
        <w:rPr>
          <w:sz w:val="22"/>
          <w:szCs w:val="22"/>
        </w:rPr>
        <w:t>.</w:t>
      </w:r>
    </w:p>
    <w:p w14:paraId="5EB3ED10" w14:textId="77777777" w:rsidR="001E276B" w:rsidRPr="00F86CFA" w:rsidRDefault="001E276B" w:rsidP="00D93B90">
      <w:pPr>
        <w:ind w:left="0" w:firstLine="0"/>
        <w:rPr>
          <w:sz w:val="22"/>
          <w:szCs w:val="22"/>
        </w:rPr>
      </w:pPr>
    </w:p>
    <w:p w14:paraId="3C01F9E5" w14:textId="0B20CAE4" w:rsidR="001E276B" w:rsidRPr="00F86CFA" w:rsidRDefault="001E276B" w:rsidP="00D93B90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Ponadto należy podkreślić, iż art. 6 ust. 1 rozporządzenia Rzym I nie znajdzie zastosowania w</w:t>
      </w:r>
      <w:r w:rsidR="004B4C0E" w:rsidRPr="00F86CFA">
        <w:rPr>
          <w:sz w:val="22"/>
          <w:szCs w:val="22"/>
        </w:rPr>
        <w:t> </w:t>
      </w:r>
      <w:r w:rsidRPr="00F86CFA">
        <w:rPr>
          <w:sz w:val="22"/>
          <w:szCs w:val="22"/>
        </w:rPr>
        <w:t>omawianym stanie faktycznym, ponieważ druga strona umowy poręcze</w:t>
      </w:r>
      <w:r w:rsidR="00107009" w:rsidRPr="00F86CFA">
        <w:rPr>
          <w:sz w:val="22"/>
          <w:szCs w:val="22"/>
        </w:rPr>
        <w:t>nia – HB Bank</w:t>
      </w:r>
      <w:r w:rsidR="004B4C0E" w:rsidRPr="00F86CFA">
        <w:rPr>
          <w:sz w:val="22"/>
          <w:szCs w:val="22"/>
        </w:rPr>
        <w:t xml:space="preserve"> GmbH</w:t>
      </w:r>
      <w:r w:rsidR="00107009" w:rsidRPr="00F86CFA">
        <w:rPr>
          <w:sz w:val="22"/>
          <w:szCs w:val="22"/>
        </w:rPr>
        <w:t xml:space="preserve"> – nie wykonuje swoje</w:t>
      </w:r>
      <w:r w:rsidRPr="00F86CFA">
        <w:rPr>
          <w:sz w:val="22"/>
          <w:szCs w:val="22"/>
        </w:rPr>
        <w:t xml:space="preserve">j działalności gospodarczej </w:t>
      </w:r>
      <w:r w:rsidR="00107009" w:rsidRPr="00F86CFA">
        <w:rPr>
          <w:sz w:val="22"/>
          <w:szCs w:val="22"/>
        </w:rPr>
        <w:t xml:space="preserve">w </w:t>
      </w:r>
      <w:r w:rsidRPr="00F86CFA">
        <w:rPr>
          <w:sz w:val="22"/>
          <w:szCs w:val="22"/>
        </w:rPr>
        <w:t>państwie zwykłego pobytu Pozwanej (Rzeczypospolitej Polskiej) ani też nie kieruje do tego państwa swojej działalności.</w:t>
      </w:r>
      <w:r w:rsidR="00805BCD" w:rsidRPr="00F86CFA">
        <w:rPr>
          <w:sz w:val="22"/>
          <w:szCs w:val="22"/>
        </w:rPr>
        <w:t xml:space="preserve"> HB Bank </w:t>
      </w:r>
      <w:r w:rsidR="004B4C0E" w:rsidRPr="00F86CFA">
        <w:rPr>
          <w:sz w:val="22"/>
          <w:szCs w:val="22"/>
        </w:rPr>
        <w:t xml:space="preserve">GmbH </w:t>
      </w:r>
      <w:r w:rsidR="00805BCD" w:rsidRPr="00F86CFA">
        <w:rPr>
          <w:sz w:val="22"/>
          <w:szCs w:val="22"/>
        </w:rPr>
        <w:t>posiada siedzibę w</w:t>
      </w:r>
      <w:r w:rsidR="004B4C0E" w:rsidRPr="00F86CFA">
        <w:rPr>
          <w:sz w:val="22"/>
          <w:szCs w:val="22"/>
        </w:rPr>
        <w:t> </w:t>
      </w:r>
      <w:r w:rsidR="00805BCD" w:rsidRPr="00F86CFA">
        <w:rPr>
          <w:sz w:val="22"/>
          <w:szCs w:val="22"/>
        </w:rPr>
        <w:t>Berlinie i nie utrzymuje na terytorium R</w:t>
      </w:r>
      <w:r w:rsidR="004B4C0E" w:rsidRPr="00F86CFA">
        <w:rPr>
          <w:sz w:val="22"/>
          <w:szCs w:val="22"/>
        </w:rPr>
        <w:t>zeczypospolitej Polskiej</w:t>
      </w:r>
      <w:r w:rsidR="00805BCD" w:rsidRPr="00F86CFA">
        <w:rPr>
          <w:sz w:val="22"/>
          <w:szCs w:val="22"/>
        </w:rPr>
        <w:t xml:space="preserve"> żadnego oddziału ani filii. Nie można również uznać,</w:t>
      </w:r>
      <w:r w:rsidR="00107009" w:rsidRPr="00F86CFA">
        <w:rPr>
          <w:sz w:val="22"/>
          <w:szCs w:val="22"/>
        </w:rPr>
        <w:t xml:space="preserve"> </w:t>
      </w:r>
      <w:r w:rsidR="00571BFE" w:rsidRPr="00F86CFA">
        <w:rPr>
          <w:sz w:val="22"/>
          <w:szCs w:val="22"/>
        </w:rPr>
        <w:t xml:space="preserve">że kieruje on swą działalność do tego państwa; jak wskazuje się w doktrynie, pod tym pojęciem rozumie się „świadome i celowe zachowanie, podejmowane z myślą o opanowaniu jakiejś części rynku w państwie zwykłego pobytu konsumenta (…) sformułowanie przepisu sugeruje </w:t>
      </w:r>
      <w:r w:rsidR="00727C3F" w:rsidRPr="00F86CFA">
        <w:rPr>
          <w:sz w:val="22"/>
          <w:szCs w:val="22"/>
        </w:rPr>
        <w:t>(…)</w:t>
      </w:r>
      <w:r w:rsidR="00571BFE" w:rsidRPr="00F86CFA">
        <w:rPr>
          <w:sz w:val="22"/>
          <w:szCs w:val="22"/>
        </w:rPr>
        <w:t xml:space="preserve"> potrzebę podjęcia przez przedsiębiorcę starań o pozyskanie klientów jeszcze przed zawarciem konkretnej wchodzącej w grę umowy konsumenckiej”</w:t>
      </w:r>
      <w:r w:rsidR="00F249E4" w:rsidRPr="00F86CFA">
        <w:rPr>
          <w:sz w:val="22"/>
          <w:szCs w:val="22"/>
        </w:rPr>
        <w:t xml:space="preserve"> (M. Pilich (w:) K. </w:t>
      </w:r>
      <w:proofErr w:type="spellStart"/>
      <w:r w:rsidR="00F249E4" w:rsidRPr="00F86CFA">
        <w:rPr>
          <w:sz w:val="22"/>
          <w:szCs w:val="22"/>
        </w:rPr>
        <w:t>Osajda</w:t>
      </w:r>
      <w:proofErr w:type="spellEnd"/>
      <w:r w:rsidR="00F249E4" w:rsidRPr="00F86CFA">
        <w:rPr>
          <w:sz w:val="22"/>
          <w:szCs w:val="22"/>
        </w:rPr>
        <w:t xml:space="preserve"> (red.), </w:t>
      </w:r>
      <w:r w:rsidR="00F249E4" w:rsidRPr="00F86CFA">
        <w:rPr>
          <w:i/>
          <w:sz w:val="22"/>
          <w:szCs w:val="22"/>
        </w:rPr>
        <w:t>Rozporządzenie Parlamentu Europejskiego i Rady (WE) Nr 593/2008 w sprawie prawa właściwego dla zobowiązań umownych (Rzym I). Komentarz</w:t>
      </w:r>
      <w:r w:rsidR="00F249E4" w:rsidRPr="00F86CFA">
        <w:rPr>
          <w:sz w:val="22"/>
          <w:szCs w:val="22"/>
        </w:rPr>
        <w:t xml:space="preserve">, 2019, art. 6, pkt 14.1, </w:t>
      </w:r>
      <w:proofErr w:type="spellStart"/>
      <w:r w:rsidR="00F249E4" w:rsidRPr="00F86CFA">
        <w:rPr>
          <w:sz w:val="22"/>
          <w:szCs w:val="22"/>
        </w:rPr>
        <w:t>Legalis</w:t>
      </w:r>
      <w:proofErr w:type="spellEnd"/>
      <w:r w:rsidR="00F249E4" w:rsidRPr="00F86CFA">
        <w:rPr>
          <w:sz w:val="22"/>
          <w:szCs w:val="22"/>
        </w:rPr>
        <w:t xml:space="preserve">). </w:t>
      </w:r>
      <w:r w:rsidR="00571BFE" w:rsidRPr="00F86CFA">
        <w:rPr>
          <w:sz w:val="22"/>
          <w:szCs w:val="22"/>
        </w:rPr>
        <w:t>HB Bank</w:t>
      </w:r>
      <w:r w:rsidR="004B4C0E" w:rsidRPr="00F86CFA">
        <w:rPr>
          <w:sz w:val="22"/>
          <w:szCs w:val="22"/>
        </w:rPr>
        <w:t xml:space="preserve"> GmbH</w:t>
      </w:r>
      <w:r w:rsidR="00F86CFA">
        <w:rPr>
          <w:sz w:val="22"/>
          <w:szCs w:val="22"/>
        </w:rPr>
        <w:t xml:space="preserve"> nie podejmuje z </w:t>
      </w:r>
      <w:r w:rsidR="00571BFE" w:rsidRPr="00F86CFA">
        <w:rPr>
          <w:sz w:val="22"/>
          <w:szCs w:val="22"/>
        </w:rPr>
        <w:t>własnej inicjatywy żadnych działań zmierzających do świadczenia usług w Polsce. Umowy z Nowak sp. z o.o. oraz Pozwaną zostały zawarte w konsekwencji prowadzenia przez HB</w:t>
      </w:r>
      <w:r w:rsidR="004B4C0E" w:rsidRPr="00F86CFA">
        <w:rPr>
          <w:sz w:val="22"/>
          <w:szCs w:val="22"/>
        </w:rPr>
        <w:t> </w:t>
      </w:r>
      <w:r w:rsidR="00571BFE" w:rsidRPr="00F86CFA">
        <w:rPr>
          <w:sz w:val="22"/>
          <w:szCs w:val="22"/>
        </w:rPr>
        <w:t>Bank</w:t>
      </w:r>
      <w:r w:rsidR="004B4C0E" w:rsidRPr="00F86CFA">
        <w:rPr>
          <w:sz w:val="22"/>
          <w:szCs w:val="22"/>
        </w:rPr>
        <w:t xml:space="preserve"> GmbH </w:t>
      </w:r>
      <w:r w:rsidR="00571BFE" w:rsidRPr="00F86CFA">
        <w:rPr>
          <w:sz w:val="22"/>
          <w:szCs w:val="22"/>
        </w:rPr>
        <w:t xml:space="preserve">współpracy z </w:t>
      </w:r>
      <w:proofErr w:type="spellStart"/>
      <w:r w:rsidR="00571BFE" w:rsidRPr="00F86CFA">
        <w:rPr>
          <w:sz w:val="22"/>
          <w:szCs w:val="22"/>
        </w:rPr>
        <w:t>M</w:t>
      </w:r>
      <w:r w:rsidR="004B4C0E" w:rsidRPr="00F86CFA">
        <w:rPr>
          <w:sz w:val="22"/>
          <w:szCs w:val="22"/>
        </w:rPr>
        <w:t>ä</w:t>
      </w:r>
      <w:r w:rsidR="00571BFE" w:rsidRPr="00F86CFA">
        <w:rPr>
          <w:sz w:val="22"/>
          <w:szCs w:val="22"/>
        </w:rPr>
        <w:t>nnermode</w:t>
      </w:r>
      <w:proofErr w:type="spellEnd"/>
      <w:r w:rsidR="00571BFE" w:rsidRPr="00F86CFA">
        <w:rPr>
          <w:sz w:val="22"/>
          <w:szCs w:val="22"/>
        </w:rPr>
        <w:t xml:space="preserve"> GmbH – podmiotu </w:t>
      </w:r>
      <w:r w:rsidR="00107009" w:rsidRPr="00F86CFA">
        <w:rPr>
          <w:sz w:val="22"/>
          <w:szCs w:val="22"/>
        </w:rPr>
        <w:t>posiadającego</w:t>
      </w:r>
      <w:r w:rsidR="00571BFE" w:rsidRPr="00F86CFA">
        <w:rPr>
          <w:sz w:val="22"/>
          <w:szCs w:val="22"/>
        </w:rPr>
        <w:t xml:space="preserve"> siedzibę w Republice Federalnej Niemiec.</w:t>
      </w:r>
    </w:p>
    <w:p w14:paraId="46B9CC95" w14:textId="77777777" w:rsidR="008B2ACC" w:rsidRPr="00F86CFA" w:rsidRDefault="008B2ACC" w:rsidP="00D41709">
      <w:pPr>
        <w:ind w:left="0" w:firstLine="0"/>
        <w:rPr>
          <w:sz w:val="22"/>
          <w:szCs w:val="22"/>
        </w:rPr>
      </w:pPr>
    </w:p>
    <w:p w14:paraId="1832E214" w14:textId="62A27EDB" w:rsidR="00F82D08" w:rsidRPr="00F86CFA" w:rsidRDefault="00E51EDC" w:rsidP="00D41709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Jednak fakt, że </w:t>
      </w:r>
      <w:r w:rsidR="004B4C0E" w:rsidRPr="00F86CFA">
        <w:rPr>
          <w:sz w:val="22"/>
          <w:szCs w:val="22"/>
        </w:rPr>
        <w:t>P</w:t>
      </w:r>
      <w:r w:rsidRPr="00F86CFA">
        <w:rPr>
          <w:sz w:val="22"/>
          <w:szCs w:val="22"/>
        </w:rPr>
        <w:t>ozwana poręczyła za długi spółki</w:t>
      </w:r>
      <w:r w:rsidR="00F82D08" w:rsidRPr="00F86CFA">
        <w:rPr>
          <w:sz w:val="22"/>
          <w:szCs w:val="22"/>
        </w:rPr>
        <w:t xml:space="preserve"> jako osoba fizyczna może doprowadzić do błędnej konkluzji, że </w:t>
      </w:r>
      <w:r w:rsidR="004B4C0E" w:rsidRPr="00F86CFA">
        <w:rPr>
          <w:sz w:val="22"/>
          <w:szCs w:val="22"/>
        </w:rPr>
        <w:t>P</w:t>
      </w:r>
      <w:r w:rsidR="001E613A" w:rsidRPr="00F86CFA">
        <w:rPr>
          <w:sz w:val="22"/>
          <w:szCs w:val="22"/>
        </w:rPr>
        <w:t>ozwana zawarła umowę poręczenia jako konsument</w:t>
      </w:r>
      <w:r w:rsidR="00F82D08" w:rsidRPr="00F86CFA">
        <w:rPr>
          <w:sz w:val="22"/>
          <w:szCs w:val="22"/>
        </w:rPr>
        <w:t>. Z</w:t>
      </w:r>
      <w:r w:rsidR="00107009" w:rsidRPr="00F86CFA">
        <w:rPr>
          <w:sz w:val="22"/>
          <w:szCs w:val="22"/>
        </w:rPr>
        <w:t> </w:t>
      </w:r>
      <w:r w:rsidR="00F82D08" w:rsidRPr="00F86CFA">
        <w:rPr>
          <w:sz w:val="22"/>
          <w:szCs w:val="22"/>
        </w:rPr>
        <w:t>ostrożności procesowej</w:t>
      </w:r>
      <w:r w:rsidR="008B2ACC" w:rsidRPr="00F86CFA">
        <w:rPr>
          <w:sz w:val="22"/>
          <w:szCs w:val="22"/>
        </w:rPr>
        <w:t>,</w:t>
      </w:r>
      <w:r w:rsidR="00F82D08" w:rsidRPr="00F86CFA">
        <w:rPr>
          <w:sz w:val="22"/>
          <w:szCs w:val="22"/>
        </w:rPr>
        <w:t xml:space="preserve"> należy odnieść się do tak przeprowadzonej kwalifikacji prawnej.</w:t>
      </w:r>
    </w:p>
    <w:p w14:paraId="7C3B6773" w14:textId="77777777" w:rsidR="00F82D08" w:rsidRPr="00F86CFA" w:rsidRDefault="00F82D08" w:rsidP="00D41709">
      <w:pPr>
        <w:ind w:left="0" w:firstLine="0"/>
        <w:rPr>
          <w:sz w:val="22"/>
          <w:szCs w:val="22"/>
        </w:rPr>
      </w:pPr>
    </w:p>
    <w:p w14:paraId="56A429C6" w14:textId="15A39CA7" w:rsidR="00AD5F84" w:rsidRPr="00F86CFA" w:rsidRDefault="00F82D08" w:rsidP="00D41709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Po pierwsze,</w:t>
      </w:r>
      <w:r w:rsidR="001E613A" w:rsidRPr="00F86CFA">
        <w:rPr>
          <w:sz w:val="22"/>
          <w:szCs w:val="22"/>
        </w:rPr>
        <w:t xml:space="preserve"> należy stwierdzić, że nie mogła ona uchylić się od skutków złożonego oświadczenia na</w:t>
      </w:r>
      <w:r w:rsidR="004B4C0E" w:rsidRPr="00F86CFA">
        <w:rPr>
          <w:sz w:val="22"/>
          <w:szCs w:val="22"/>
        </w:rPr>
        <w:t> </w:t>
      </w:r>
      <w:r w:rsidR="001E613A" w:rsidRPr="00F86CFA">
        <w:rPr>
          <w:sz w:val="22"/>
          <w:szCs w:val="22"/>
        </w:rPr>
        <w:t>podstawie regulacji wad oświadczenia woli zawartych w polskim kodeksie cywilnym korzystając z</w:t>
      </w:r>
      <w:r w:rsidR="004B4C0E" w:rsidRPr="00F86CFA">
        <w:rPr>
          <w:sz w:val="22"/>
          <w:szCs w:val="22"/>
        </w:rPr>
        <w:t> </w:t>
      </w:r>
      <w:proofErr w:type="spellStart"/>
      <w:r w:rsidR="001E613A" w:rsidRPr="00F86CFA">
        <w:rPr>
          <w:sz w:val="22"/>
          <w:szCs w:val="22"/>
        </w:rPr>
        <w:t>kolizyjnoprawnego</w:t>
      </w:r>
      <w:proofErr w:type="spellEnd"/>
      <w:r w:rsidR="001E613A" w:rsidRPr="00F86CFA">
        <w:rPr>
          <w:sz w:val="22"/>
          <w:szCs w:val="22"/>
        </w:rPr>
        <w:t xml:space="preserve"> uprzywilejowania konsumenta w wynikające</w:t>
      </w:r>
      <w:r w:rsidR="00AD5F84" w:rsidRPr="00F86CFA">
        <w:rPr>
          <w:sz w:val="22"/>
          <w:szCs w:val="22"/>
        </w:rPr>
        <w:t>go</w:t>
      </w:r>
      <w:r w:rsidR="001E613A" w:rsidRPr="00F86CFA">
        <w:rPr>
          <w:sz w:val="22"/>
          <w:szCs w:val="22"/>
        </w:rPr>
        <w:t xml:space="preserve"> z </w:t>
      </w:r>
      <w:r w:rsidR="00CA0E79" w:rsidRPr="00F86CFA">
        <w:rPr>
          <w:sz w:val="22"/>
          <w:szCs w:val="22"/>
        </w:rPr>
        <w:t xml:space="preserve">art. 6 ust. 2 rozporządzenia Rzym I. </w:t>
      </w:r>
      <w:r w:rsidR="001A2423" w:rsidRPr="00F86CFA">
        <w:rPr>
          <w:sz w:val="22"/>
          <w:szCs w:val="22"/>
        </w:rPr>
        <w:t>Zgodnie z powołanym przepisem, konsumenta nie można pozbawić ochrony przyznanej mu na podstawie przepisów, których nie można wyłączyć w drodze umowy, a które wynikają z prawa właściwego w razie braku wyboru prawa (to jest, stosując łącznik miejsca zwykłego pobytu, prawa polskiego). Z okoliczności sprawy jasno wynika, że z</w:t>
      </w:r>
      <w:r w:rsidR="00A25A37" w:rsidRPr="00F86CFA">
        <w:rPr>
          <w:sz w:val="22"/>
          <w:szCs w:val="22"/>
        </w:rPr>
        <w:t xml:space="preserve">arówno </w:t>
      </w:r>
      <w:r w:rsidR="00F86CFA">
        <w:rPr>
          <w:sz w:val="22"/>
          <w:szCs w:val="22"/>
        </w:rPr>
        <w:t>na gruncie prawa polskiego, jak </w:t>
      </w:r>
      <w:r w:rsidR="00A25A37" w:rsidRPr="00F86CFA">
        <w:rPr>
          <w:sz w:val="22"/>
          <w:szCs w:val="22"/>
        </w:rPr>
        <w:t>i</w:t>
      </w:r>
      <w:r w:rsidR="004B4C0E" w:rsidRPr="00F86CFA">
        <w:rPr>
          <w:sz w:val="22"/>
          <w:szCs w:val="22"/>
        </w:rPr>
        <w:t> </w:t>
      </w:r>
      <w:r w:rsidR="00A25A37" w:rsidRPr="00F86CFA">
        <w:rPr>
          <w:sz w:val="22"/>
          <w:szCs w:val="22"/>
        </w:rPr>
        <w:t>niemieckiego</w:t>
      </w:r>
      <w:r w:rsidR="00597393" w:rsidRPr="00F86CFA">
        <w:rPr>
          <w:sz w:val="22"/>
          <w:szCs w:val="22"/>
        </w:rPr>
        <w:t>,</w:t>
      </w:r>
      <w:r w:rsidR="00A25A37" w:rsidRPr="00F86CFA">
        <w:rPr>
          <w:sz w:val="22"/>
          <w:szCs w:val="22"/>
        </w:rPr>
        <w:t xml:space="preserve"> wady oświadczenia woli nie są normami mającymi na celu ochronę konsumenta</w:t>
      </w:r>
      <w:r w:rsidR="001A2423" w:rsidRPr="00F86CFA">
        <w:rPr>
          <w:sz w:val="22"/>
          <w:szCs w:val="22"/>
        </w:rPr>
        <w:t>.</w:t>
      </w:r>
      <w:r w:rsidR="00AD5F84" w:rsidRPr="00F86CFA">
        <w:rPr>
          <w:sz w:val="22"/>
          <w:szCs w:val="22"/>
        </w:rPr>
        <w:t xml:space="preserve"> </w:t>
      </w:r>
      <w:r w:rsidR="001A2423" w:rsidRPr="00F86CFA">
        <w:rPr>
          <w:sz w:val="22"/>
          <w:szCs w:val="22"/>
        </w:rPr>
        <w:lastRenderedPageBreak/>
        <w:t>S</w:t>
      </w:r>
      <w:r w:rsidR="00A25A37" w:rsidRPr="00F86CFA">
        <w:rPr>
          <w:sz w:val="22"/>
          <w:szCs w:val="22"/>
        </w:rPr>
        <w:t>ą</w:t>
      </w:r>
      <w:r w:rsidR="004B4C0E" w:rsidRPr="00F86CFA">
        <w:rPr>
          <w:sz w:val="22"/>
          <w:szCs w:val="22"/>
        </w:rPr>
        <w:t> </w:t>
      </w:r>
      <w:r w:rsidR="00A25A37" w:rsidRPr="00F86CFA">
        <w:rPr>
          <w:sz w:val="22"/>
          <w:szCs w:val="22"/>
        </w:rPr>
        <w:t xml:space="preserve">stosowane w sposób jednolity, bez względu na </w:t>
      </w:r>
      <w:r w:rsidR="00AD5F84" w:rsidRPr="00F86CFA">
        <w:rPr>
          <w:sz w:val="22"/>
          <w:szCs w:val="22"/>
        </w:rPr>
        <w:t xml:space="preserve">kwalifikację podmiotu składającego oświadczenie. </w:t>
      </w:r>
      <w:r w:rsidR="005742E8" w:rsidRPr="00F86CFA">
        <w:rPr>
          <w:sz w:val="22"/>
          <w:szCs w:val="22"/>
        </w:rPr>
        <w:t xml:space="preserve">Odmienna wykładnia stałaby w sprzeczności z </w:t>
      </w:r>
      <w:r w:rsidR="005742E8" w:rsidRPr="00F86CFA">
        <w:rPr>
          <w:i/>
          <w:sz w:val="22"/>
          <w:szCs w:val="22"/>
        </w:rPr>
        <w:t xml:space="preserve">ratio legis </w:t>
      </w:r>
      <w:r w:rsidR="005742E8" w:rsidRPr="00F86CFA">
        <w:rPr>
          <w:sz w:val="22"/>
          <w:szCs w:val="22"/>
        </w:rPr>
        <w:t xml:space="preserve">art. 6 ust. 2 rozporządzenia Rzym I, </w:t>
      </w:r>
      <w:r w:rsidR="00107009" w:rsidRPr="00F86CFA">
        <w:rPr>
          <w:sz w:val="22"/>
          <w:szCs w:val="22"/>
        </w:rPr>
        <w:t>który skonstruowano w taki sposób,</w:t>
      </w:r>
      <w:r w:rsidR="005742E8" w:rsidRPr="00F86CFA">
        <w:rPr>
          <w:sz w:val="22"/>
          <w:szCs w:val="22"/>
        </w:rPr>
        <w:t xml:space="preserve"> aby „zgodnie z zasadą proporcjonalności nie ograniczać autonomii woli stron kontraktu bardziej niż to konieczne”</w:t>
      </w:r>
      <w:r w:rsidR="005743D5" w:rsidRPr="00F86CFA">
        <w:rPr>
          <w:sz w:val="22"/>
          <w:szCs w:val="22"/>
        </w:rPr>
        <w:t xml:space="preserve"> (</w:t>
      </w:r>
      <w:r w:rsidR="000D47AA" w:rsidRPr="00F86CFA">
        <w:rPr>
          <w:sz w:val="22"/>
          <w:szCs w:val="22"/>
        </w:rPr>
        <w:t>M. Pilich [w:]</w:t>
      </w:r>
      <w:r w:rsidR="005743D5" w:rsidRPr="00F86CFA">
        <w:rPr>
          <w:sz w:val="22"/>
          <w:szCs w:val="22"/>
        </w:rPr>
        <w:t xml:space="preserve"> K. </w:t>
      </w:r>
      <w:proofErr w:type="spellStart"/>
      <w:r w:rsidR="005743D5" w:rsidRPr="00F86CFA">
        <w:rPr>
          <w:sz w:val="22"/>
          <w:szCs w:val="22"/>
        </w:rPr>
        <w:t>Osajda</w:t>
      </w:r>
      <w:proofErr w:type="spellEnd"/>
      <w:r w:rsidR="005743D5" w:rsidRPr="00F86CFA">
        <w:rPr>
          <w:sz w:val="22"/>
          <w:szCs w:val="22"/>
        </w:rPr>
        <w:t xml:space="preserve"> (red.), </w:t>
      </w:r>
      <w:r w:rsidR="005743D5" w:rsidRPr="00F86CFA">
        <w:rPr>
          <w:i/>
          <w:sz w:val="22"/>
          <w:szCs w:val="22"/>
        </w:rPr>
        <w:t>Rozporządzenie Parlamentu Europejskiego i Rady (WE) Nr 593/2008 w sprawie prawa właściwego dla zobowiązań umownych (Rzym I). Komentarz</w:t>
      </w:r>
      <w:r w:rsidR="005743D5" w:rsidRPr="00F86CFA">
        <w:rPr>
          <w:sz w:val="22"/>
          <w:szCs w:val="22"/>
        </w:rPr>
        <w:t xml:space="preserve">, 2019, art. 6, pkt 17.1 </w:t>
      </w:r>
      <w:proofErr w:type="spellStart"/>
      <w:r w:rsidR="005743D5" w:rsidRPr="00F86CFA">
        <w:rPr>
          <w:sz w:val="22"/>
          <w:szCs w:val="22"/>
        </w:rPr>
        <w:t>Legalis</w:t>
      </w:r>
      <w:proofErr w:type="spellEnd"/>
      <w:r w:rsidR="005743D5" w:rsidRPr="00F86CFA">
        <w:rPr>
          <w:sz w:val="22"/>
          <w:szCs w:val="22"/>
        </w:rPr>
        <w:t xml:space="preserve">). </w:t>
      </w:r>
      <w:r w:rsidR="000F110D" w:rsidRPr="00F86CFA">
        <w:rPr>
          <w:sz w:val="22"/>
          <w:szCs w:val="22"/>
        </w:rPr>
        <w:t>W przedstawionym stanie faktycznym nie można</w:t>
      </w:r>
      <w:r w:rsidR="001A2423" w:rsidRPr="00F86CFA">
        <w:rPr>
          <w:sz w:val="22"/>
          <w:szCs w:val="22"/>
        </w:rPr>
        <w:t xml:space="preserve"> zatem</w:t>
      </w:r>
      <w:r w:rsidR="000F110D" w:rsidRPr="00F86CFA">
        <w:rPr>
          <w:sz w:val="22"/>
          <w:szCs w:val="22"/>
        </w:rPr>
        <w:t xml:space="preserve"> uznać, że zastosowanie norm prawa polskiego</w:t>
      </w:r>
      <w:r w:rsidR="001A2423" w:rsidRPr="00F86CFA">
        <w:rPr>
          <w:sz w:val="22"/>
          <w:szCs w:val="22"/>
        </w:rPr>
        <w:t xml:space="preserve"> będzie miało na celu zwiększenie ochrony konsumenta. </w:t>
      </w:r>
      <w:r w:rsidR="007E680F" w:rsidRPr="00F86CFA">
        <w:rPr>
          <w:sz w:val="22"/>
          <w:szCs w:val="22"/>
        </w:rPr>
        <w:t>Tym samym, dla oceny stosunku powstałego między powodem a pozwanym właściwe pozostaje prawo niemieckie</w:t>
      </w:r>
      <w:r w:rsidR="000F110D" w:rsidRPr="00F86CFA">
        <w:rPr>
          <w:sz w:val="22"/>
          <w:szCs w:val="22"/>
        </w:rPr>
        <w:t>, które zostało wybrane przez strony.</w:t>
      </w:r>
    </w:p>
    <w:p w14:paraId="4A3E2601" w14:textId="6F01692E" w:rsidR="007E680F" w:rsidRPr="00F86CFA" w:rsidRDefault="007E680F" w:rsidP="00D41709">
      <w:pPr>
        <w:ind w:left="0" w:firstLine="0"/>
        <w:rPr>
          <w:sz w:val="22"/>
          <w:szCs w:val="22"/>
        </w:rPr>
      </w:pPr>
    </w:p>
    <w:p w14:paraId="242CFD54" w14:textId="4EE028CB" w:rsidR="007E680F" w:rsidRPr="00F86CFA" w:rsidRDefault="007E680F" w:rsidP="0043639E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bCs/>
        </w:rPr>
        <w:t>Wykładnia zawartej umowy</w:t>
      </w:r>
      <w:r w:rsidR="00E54D88" w:rsidRPr="00F86CFA">
        <w:rPr>
          <w:rFonts w:ascii="Times New Roman" w:hAnsi="Times New Roman"/>
          <w:b/>
          <w:bCs/>
        </w:rPr>
        <w:t xml:space="preserve"> poręczenia</w:t>
      </w:r>
    </w:p>
    <w:p w14:paraId="6279A024" w14:textId="77777777" w:rsidR="007E680F" w:rsidRPr="00F86CFA" w:rsidRDefault="007E680F" w:rsidP="00D41709">
      <w:pPr>
        <w:ind w:left="0" w:firstLine="0"/>
        <w:rPr>
          <w:sz w:val="22"/>
          <w:szCs w:val="22"/>
        </w:rPr>
      </w:pPr>
    </w:p>
    <w:p w14:paraId="4FC40A50" w14:textId="3DB0E35B" w:rsidR="00E54D88" w:rsidRPr="00F86CFA" w:rsidRDefault="007E680F" w:rsidP="00D41709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Zgodnie z artykułem 12 ust. 1 rozporządzenia Rzym I prawo właściwe dla umowy ma zastosowanie w</w:t>
      </w:r>
      <w:r w:rsidR="004B4C0E" w:rsidRPr="00F86CFA">
        <w:rPr>
          <w:sz w:val="22"/>
          <w:szCs w:val="22"/>
        </w:rPr>
        <w:t> </w:t>
      </w:r>
      <w:r w:rsidRPr="00F86CFA">
        <w:rPr>
          <w:sz w:val="22"/>
          <w:szCs w:val="22"/>
        </w:rPr>
        <w:t>szczególności do wykładni oraz wykonywania wynikających z niej zobowiązań. Oznacza to, że zarówno do właściwej wykładni samej umowy, jak i wykonywania przez strony praw i obowiązków należy stosować prawo niemiecki</w:t>
      </w:r>
      <w:r w:rsidR="00E54D88" w:rsidRPr="00F86CFA">
        <w:rPr>
          <w:sz w:val="22"/>
          <w:szCs w:val="22"/>
        </w:rPr>
        <w:t xml:space="preserve">e. </w:t>
      </w:r>
      <w:r w:rsidRPr="00F86CFA">
        <w:rPr>
          <w:sz w:val="22"/>
          <w:szCs w:val="22"/>
        </w:rPr>
        <w:t>Tym samym</w:t>
      </w:r>
      <w:r w:rsidR="00E54D88" w:rsidRPr="00F86CFA">
        <w:rPr>
          <w:sz w:val="22"/>
          <w:szCs w:val="22"/>
        </w:rPr>
        <w:t xml:space="preserve">, dla dokonania właściwej wykładni zawartej umowy poręczenia, właściwym pozostawał § 157 niemieckiego kodeksu cywilnego, zgodnie z którym okolicznościami relewantnymi </w:t>
      </w:r>
      <w:r w:rsidR="004B4C0E" w:rsidRPr="00F86CFA">
        <w:rPr>
          <w:sz w:val="22"/>
          <w:szCs w:val="22"/>
        </w:rPr>
        <w:t xml:space="preserve">jest </w:t>
      </w:r>
      <w:r w:rsidR="00E54D88" w:rsidRPr="00F86CFA">
        <w:rPr>
          <w:sz w:val="22"/>
          <w:szCs w:val="22"/>
        </w:rPr>
        <w:t xml:space="preserve">dobra wiara oraz praktyka zwyczajowa. Sąd orzekający in </w:t>
      </w:r>
      <w:proofErr w:type="spellStart"/>
      <w:r w:rsidR="00E54D88" w:rsidRPr="00F86CFA">
        <w:rPr>
          <w:i/>
          <w:sz w:val="22"/>
          <w:szCs w:val="22"/>
        </w:rPr>
        <w:t>meritii</w:t>
      </w:r>
      <w:proofErr w:type="spellEnd"/>
      <w:r w:rsidR="00F86CFA">
        <w:rPr>
          <w:sz w:val="22"/>
          <w:szCs w:val="22"/>
        </w:rPr>
        <w:t xml:space="preserve"> w </w:t>
      </w:r>
      <w:r w:rsidR="00E54D88" w:rsidRPr="00F86CFA">
        <w:rPr>
          <w:sz w:val="22"/>
          <w:szCs w:val="22"/>
        </w:rPr>
        <w:t>I instancji nie tylko nie zastosował powyższej normy, ale również przywołał art. 65 k.c., który z</w:t>
      </w:r>
      <w:r w:rsidR="004B4C0E" w:rsidRPr="00F86CFA">
        <w:rPr>
          <w:sz w:val="22"/>
          <w:szCs w:val="22"/>
        </w:rPr>
        <w:t> przytoczonych</w:t>
      </w:r>
      <w:r w:rsidR="00E54D88" w:rsidRPr="00F86CFA">
        <w:rPr>
          <w:sz w:val="22"/>
          <w:szCs w:val="22"/>
        </w:rPr>
        <w:t xml:space="preserve"> powyżej względów nie może mieć w niniejszej sprawie zastosowania.</w:t>
      </w:r>
    </w:p>
    <w:p w14:paraId="76975875" w14:textId="77777777" w:rsidR="00E54D88" w:rsidRPr="00F86CFA" w:rsidRDefault="00E54D88" w:rsidP="00D41709">
      <w:pPr>
        <w:ind w:left="0" w:firstLine="0"/>
        <w:rPr>
          <w:sz w:val="22"/>
          <w:szCs w:val="22"/>
        </w:rPr>
      </w:pPr>
    </w:p>
    <w:p w14:paraId="1AF659C4" w14:textId="440EEE7D" w:rsidR="00E54D88" w:rsidRPr="00F86CFA" w:rsidRDefault="007E680F" w:rsidP="00D41709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Na tle przywołanej normy</w:t>
      </w:r>
      <w:r w:rsidR="00E54D88" w:rsidRPr="00F86CFA">
        <w:rPr>
          <w:sz w:val="22"/>
          <w:szCs w:val="22"/>
        </w:rPr>
        <w:t xml:space="preserve"> prawa niemieckiego</w:t>
      </w:r>
      <w:r w:rsidRPr="00F86CFA">
        <w:rPr>
          <w:sz w:val="22"/>
          <w:szCs w:val="22"/>
        </w:rPr>
        <w:t xml:space="preserve"> należy zaznaczyć, </w:t>
      </w:r>
      <w:r w:rsidR="004B4C0E" w:rsidRPr="00F86CFA">
        <w:rPr>
          <w:sz w:val="22"/>
          <w:szCs w:val="22"/>
        </w:rPr>
        <w:t>że</w:t>
      </w:r>
      <w:r w:rsidRPr="00F86CFA">
        <w:rPr>
          <w:sz w:val="22"/>
          <w:szCs w:val="22"/>
        </w:rPr>
        <w:t xml:space="preserve"> w doktrynie przeważa pogląd o</w:t>
      </w:r>
      <w:r w:rsidR="004B4C0E" w:rsidRPr="00F86CFA">
        <w:rPr>
          <w:sz w:val="22"/>
          <w:szCs w:val="22"/>
        </w:rPr>
        <w:t> </w:t>
      </w:r>
      <w:r w:rsidRPr="00F86CFA">
        <w:rPr>
          <w:sz w:val="22"/>
          <w:szCs w:val="22"/>
        </w:rPr>
        <w:t xml:space="preserve">konieczności stosowania na gruncie prawa niemieckiego obiektywnej metody wykładni oświadczeń woli, a więc takiej, dla której kluczowe znaczenie ma wzorzec rozsądnej osoby oraz ochrona rozsądnych oczekiwań adresata (E. </w:t>
      </w:r>
      <w:proofErr w:type="spellStart"/>
      <w:r w:rsidRPr="00F86CFA">
        <w:rPr>
          <w:sz w:val="22"/>
          <w:szCs w:val="22"/>
        </w:rPr>
        <w:t>Rott</w:t>
      </w:r>
      <w:proofErr w:type="spellEnd"/>
      <w:r w:rsidRPr="00F86CFA">
        <w:rPr>
          <w:sz w:val="22"/>
          <w:szCs w:val="22"/>
        </w:rPr>
        <w:t>-Pietrzyk,</w:t>
      </w:r>
      <w:r w:rsidRPr="00F86CFA">
        <w:rPr>
          <w:i/>
          <w:sz w:val="22"/>
          <w:szCs w:val="22"/>
        </w:rPr>
        <w:t xml:space="preserve"> Wykładnia oświadczenia woli (studium </w:t>
      </w:r>
      <w:proofErr w:type="spellStart"/>
      <w:r w:rsidRPr="00F86CFA">
        <w:rPr>
          <w:i/>
          <w:sz w:val="22"/>
          <w:szCs w:val="22"/>
        </w:rPr>
        <w:t>prawnoporównawcze</w:t>
      </w:r>
      <w:proofErr w:type="spellEnd"/>
      <w:r w:rsidRPr="00F86CFA">
        <w:rPr>
          <w:i/>
          <w:sz w:val="22"/>
          <w:szCs w:val="22"/>
        </w:rPr>
        <w:t xml:space="preserve">), </w:t>
      </w:r>
      <w:r w:rsidRPr="00F86CFA">
        <w:rPr>
          <w:sz w:val="22"/>
          <w:szCs w:val="22"/>
        </w:rPr>
        <w:t>Studia Prawa Prywatnego 2007 nr 3, s.</w:t>
      </w:r>
      <w:r w:rsidR="002765EE" w:rsidRPr="00F86CFA">
        <w:rPr>
          <w:sz w:val="22"/>
          <w:szCs w:val="22"/>
        </w:rPr>
        <w:t xml:space="preserve"> 31</w:t>
      </w:r>
      <w:r w:rsidRPr="00F86CFA">
        <w:rPr>
          <w:sz w:val="22"/>
          <w:szCs w:val="22"/>
        </w:rPr>
        <w:t>)</w:t>
      </w:r>
      <w:r w:rsidR="00E54D88" w:rsidRPr="00F86CFA">
        <w:rPr>
          <w:sz w:val="22"/>
          <w:szCs w:val="22"/>
        </w:rPr>
        <w:t>.</w:t>
      </w:r>
      <w:r w:rsidR="000D47AA" w:rsidRPr="00F86CFA">
        <w:rPr>
          <w:sz w:val="22"/>
          <w:szCs w:val="22"/>
        </w:rPr>
        <w:t xml:space="preserve"> Przenosząc t</w:t>
      </w:r>
      <w:r w:rsidR="00F86CFA">
        <w:rPr>
          <w:sz w:val="22"/>
          <w:szCs w:val="22"/>
        </w:rPr>
        <w:t>o na kanwę niniejszej sprawy za </w:t>
      </w:r>
      <w:r w:rsidR="000D47AA" w:rsidRPr="00F86CFA">
        <w:rPr>
          <w:sz w:val="22"/>
          <w:szCs w:val="22"/>
        </w:rPr>
        <w:t>niedopuszczalne należy uznać oparcie wykładni złożonego przez Pozwaną oświadczenia woli wyłącznie na jej subiektywnych przekonaniach, z pominięciem elementu obiektywnego, odwołującego się do jego rozumienia przez rozsądnego adresata.</w:t>
      </w:r>
    </w:p>
    <w:p w14:paraId="1C118E26" w14:textId="77777777" w:rsidR="00E54D88" w:rsidRPr="00F86CFA" w:rsidRDefault="00E54D88" w:rsidP="00D41709">
      <w:pPr>
        <w:ind w:left="0" w:firstLine="0"/>
        <w:rPr>
          <w:sz w:val="22"/>
          <w:szCs w:val="22"/>
        </w:rPr>
      </w:pPr>
    </w:p>
    <w:p w14:paraId="5D93376D" w14:textId="1B659DAE" w:rsidR="00E54D88" w:rsidRPr="00F86CFA" w:rsidRDefault="00E54D88" w:rsidP="00D41709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Biorąc pod uwagę powyższe, zarówno wykładnia zawartej umowy, jak i samo wykonywanie obowiązków przez strony powinno podlegać ocenie wyłącznie z perspektywy przywołanej powyżej normy prawa niemieckiego.</w:t>
      </w:r>
    </w:p>
    <w:p w14:paraId="38F0F9EE" w14:textId="77777777" w:rsidR="001A2423" w:rsidRPr="00F86CFA" w:rsidRDefault="001A2423" w:rsidP="00D41709">
      <w:pPr>
        <w:ind w:left="0" w:firstLine="0"/>
        <w:rPr>
          <w:sz w:val="22"/>
          <w:szCs w:val="22"/>
        </w:rPr>
      </w:pPr>
    </w:p>
    <w:p w14:paraId="0FB0E752" w14:textId="2DD45FA5" w:rsidR="001A2423" w:rsidRPr="00F86CFA" w:rsidRDefault="001A2423" w:rsidP="00D41709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Również zakres poręczenia </w:t>
      </w:r>
      <w:r w:rsidR="00197891" w:rsidRPr="00F86CFA">
        <w:rPr>
          <w:sz w:val="22"/>
          <w:szCs w:val="22"/>
        </w:rPr>
        <w:t>nie może budzić wątpliwości. Na gruncie wybranego prawa niemieckiego, możliwe jest poręczenie za dług przyszły. Nie jest przy tym konieczn</w:t>
      </w:r>
      <w:r w:rsidR="00F86CFA">
        <w:rPr>
          <w:sz w:val="22"/>
          <w:szCs w:val="22"/>
        </w:rPr>
        <w:t>e wskazanie wysokości kwoty, do </w:t>
      </w:r>
      <w:r w:rsidR="00197891" w:rsidRPr="00F86CFA">
        <w:rPr>
          <w:sz w:val="22"/>
          <w:szCs w:val="22"/>
        </w:rPr>
        <w:t>której maksymalnie odpowiada poręczyciel</w:t>
      </w:r>
      <w:r w:rsidR="00C95C5F" w:rsidRPr="00F86CFA">
        <w:rPr>
          <w:sz w:val="22"/>
          <w:szCs w:val="22"/>
        </w:rPr>
        <w:t xml:space="preserve"> (</w:t>
      </w:r>
      <w:r w:rsidR="00460CAA" w:rsidRPr="00F86CFA">
        <w:rPr>
          <w:sz w:val="22"/>
          <w:szCs w:val="22"/>
        </w:rPr>
        <w:t>zob. §</w:t>
      </w:r>
      <w:r w:rsidR="00BC72A2" w:rsidRPr="00F86CFA">
        <w:rPr>
          <w:sz w:val="22"/>
          <w:szCs w:val="22"/>
        </w:rPr>
        <w:t xml:space="preserve"> 765 niemieckiego kodeksu cywilnego</w:t>
      </w:r>
      <w:r w:rsidR="00C95C5F" w:rsidRPr="00F86CFA">
        <w:rPr>
          <w:sz w:val="22"/>
          <w:szCs w:val="22"/>
        </w:rPr>
        <w:t>)</w:t>
      </w:r>
      <w:r w:rsidR="00197891" w:rsidRPr="00F86CFA">
        <w:rPr>
          <w:sz w:val="22"/>
          <w:szCs w:val="22"/>
        </w:rPr>
        <w:t>. Uznaje się, że ze względu na charakter prowadzonej działalności, poręczyciel powinien wiedzieć na jakie ryzyko się godzi i jakie konsekwencje na siebie przyjmuje. Zarzucane przez stronę pozwaną niezrozumienie pojęć „wszelkie długi” czy „roszczenia księgowe, zobowiązania wekslowe i roszczenia z zaciągniętych pożyczek” nie mogą być w świet</w:t>
      </w:r>
      <w:r w:rsidR="00BC72A2" w:rsidRPr="00F86CFA">
        <w:rPr>
          <w:sz w:val="22"/>
          <w:szCs w:val="22"/>
        </w:rPr>
        <w:t>le przedstawianych w niniejszym</w:t>
      </w:r>
      <w:r w:rsidR="00197891" w:rsidRPr="00F86CFA">
        <w:rPr>
          <w:sz w:val="22"/>
          <w:szCs w:val="22"/>
        </w:rPr>
        <w:t xml:space="preserve"> piśmie procesowym okoliczności uznane za niezrozumiałe dla d</w:t>
      </w:r>
      <w:r w:rsidR="00BC72A2" w:rsidRPr="00F86CFA">
        <w:rPr>
          <w:sz w:val="22"/>
          <w:szCs w:val="22"/>
        </w:rPr>
        <w:t xml:space="preserve">orosłej, racjonalnej osoby, </w:t>
      </w:r>
      <w:r w:rsidR="00EB7BBC" w:rsidRPr="00F86CFA">
        <w:rPr>
          <w:sz w:val="22"/>
          <w:szCs w:val="22"/>
        </w:rPr>
        <w:t xml:space="preserve">zwłaszcza </w:t>
      </w:r>
      <w:r w:rsidR="00BC72A2" w:rsidRPr="00F86CFA">
        <w:rPr>
          <w:sz w:val="22"/>
          <w:szCs w:val="22"/>
        </w:rPr>
        <w:t xml:space="preserve">zajmującej się </w:t>
      </w:r>
      <w:r w:rsidR="00197891" w:rsidRPr="00F86CFA">
        <w:rPr>
          <w:sz w:val="22"/>
          <w:szCs w:val="22"/>
        </w:rPr>
        <w:t xml:space="preserve">finansami </w:t>
      </w:r>
      <w:r w:rsidR="00BC72A2" w:rsidRPr="00F86CFA">
        <w:rPr>
          <w:sz w:val="22"/>
          <w:szCs w:val="22"/>
        </w:rPr>
        <w:t xml:space="preserve">i korespondencją </w:t>
      </w:r>
      <w:r w:rsidR="00197891" w:rsidRPr="00F86CFA">
        <w:rPr>
          <w:sz w:val="22"/>
          <w:szCs w:val="22"/>
        </w:rPr>
        <w:t>spółki</w:t>
      </w:r>
      <w:r w:rsidR="00C95C5F" w:rsidRPr="00F86CFA">
        <w:rPr>
          <w:sz w:val="22"/>
          <w:szCs w:val="22"/>
        </w:rPr>
        <w:t xml:space="preserve">. </w:t>
      </w:r>
    </w:p>
    <w:p w14:paraId="3FC91071" w14:textId="77777777" w:rsidR="00C95C5F" w:rsidRPr="00F86CFA" w:rsidRDefault="00C95C5F" w:rsidP="00D41709">
      <w:pPr>
        <w:ind w:left="0" w:firstLine="0"/>
        <w:rPr>
          <w:sz w:val="22"/>
          <w:szCs w:val="22"/>
        </w:rPr>
      </w:pPr>
    </w:p>
    <w:p w14:paraId="7CE84514" w14:textId="75AF0347" w:rsidR="00E54D88" w:rsidRPr="00F86CFA" w:rsidRDefault="00E54D88" w:rsidP="00D41709">
      <w:pPr>
        <w:ind w:left="0" w:firstLine="0"/>
        <w:rPr>
          <w:sz w:val="22"/>
          <w:szCs w:val="22"/>
        </w:rPr>
      </w:pPr>
    </w:p>
    <w:p w14:paraId="561DB41A" w14:textId="3F0F37D7" w:rsidR="00E54D88" w:rsidRPr="00F86CFA" w:rsidRDefault="00E54D88" w:rsidP="0043639E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bCs/>
        </w:rPr>
        <w:t>Błędne uznanie nieważności umowy poręczenia</w:t>
      </w:r>
    </w:p>
    <w:p w14:paraId="0F4C9CB4" w14:textId="52ED76BA" w:rsidR="00E54D88" w:rsidRPr="00F86CFA" w:rsidRDefault="00E54D88" w:rsidP="00E54D88">
      <w:pPr>
        <w:rPr>
          <w:sz w:val="22"/>
          <w:szCs w:val="22"/>
        </w:rPr>
      </w:pPr>
    </w:p>
    <w:p w14:paraId="7AF09F80" w14:textId="26FA1591" w:rsidR="00E54D88" w:rsidRPr="00F86CFA" w:rsidRDefault="00E54D88" w:rsidP="00E54D88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Sąd, uznając, że zawarta umowa poręczenia jest nieważna, na podstawie art. 58 § 1 k.c. dopuścił się kilku błędów. Po pierwsze, jak wskazano powyżej, umowa jako po</w:t>
      </w:r>
      <w:r w:rsidR="00034042" w:rsidRPr="00F86CFA">
        <w:rPr>
          <w:sz w:val="22"/>
          <w:szCs w:val="22"/>
        </w:rPr>
        <w:t xml:space="preserve">dlegająca w całości prawu niemieckiemu, nie mogła podlegać ocenie w perspektywie przepisów </w:t>
      </w:r>
      <w:r w:rsidR="00F86CFA">
        <w:rPr>
          <w:sz w:val="22"/>
          <w:szCs w:val="22"/>
        </w:rPr>
        <w:t>polskiego kodeksu cywilnego. Po </w:t>
      </w:r>
      <w:r w:rsidR="00034042" w:rsidRPr="00F86CFA">
        <w:rPr>
          <w:sz w:val="22"/>
          <w:szCs w:val="22"/>
        </w:rPr>
        <w:t>drugie, nie doszło do ziszczenia okoliczności opisanych w § 134 i</w:t>
      </w:r>
      <w:r w:rsidR="004B4C0E" w:rsidRPr="00F86CFA">
        <w:rPr>
          <w:sz w:val="22"/>
          <w:szCs w:val="22"/>
        </w:rPr>
        <w:t xml:space="preserve"> §</w:t>
      </w:r>
      <w:r w:rsidR="00034042" w:rsidRPr="00F86CFA">
        <w:rPr>
          <w:sz w:val="22"/>
          <w:szCs w:val="22"/>
        </w:rPr>
        <w:t xml:space="preserve"> 138 niemieckiego kodeksu cywilnego regulujących przesłanki nieważności czynności prawnej, a zatem umowa musi zostać uznana za ważną i skuteczną.</w:t>
      </w:r>
    </w:p>
    <w:p w14:paraId="72BCC897" w14:textId="77777777" w:rsidR="00732DC8" w:rsidRPr="00F86CFA" w:rsidRDefault="00732DC8" w:rsidP="00E54D88">
      <w:pPr>
        <w:ind w:left="0" w:firstLine="0"/>
        <w:rPr>
          <w:sz w:val="22"/>
          <w:szCs w:val="22"/>
        </w:rPr>
      </w:pPr>
    </w:p>
    <w:p w14:paraId="13D907DB" w14:textId="4DD2DFD9" w:rsidR="00BB6D8A" w:rsidRPr="00F86CFA" w:rsidRDefault="00732DC8" w:rsidP="00BB6D8A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lastRenderedPageBreak/>
        <w:t xml:space="preserve">Wynikające z umowy poręczenia zobowiązanie pozwanej jest – wbrew twierdzeniom </w:t>
      </w:r>
      <w:r w:rsidR="004B4C0E" w:rsidRPr="00F86CFA">
        <w:rPr>
          <w:sz w:val="22"/>
          <w:szCs w:val="22"/>
        </w:rPr>
        <w:t>S</w:t>
      </w:r>
      <w:r w:rsidRPr="00F86CFA">
        <w:rPr>
          <w:sz w:val="22"/>
          <w:szCs w:val="22"/>
        </w:rPr>
        <w:t xml:space="preserve">ądu – dostatecznie określone pod względem podmiotowym (w treści umowy jest wyraźnie wskazany dłużnik główny, tj. spółka „Nowak-Moda” Sp. z o.o.) oraz przedmiotowym (wymienione wyraźnie wierzytelności dłużnika głównego wobec banku). </w:t>
      </w:r>
      <w:r w:rsidR="004935BC" w:rsidRPr="00F86CFA">
        <w:rPr>
          <w:sz w:val="22"/>
          <w:szCs w:val="22"/>
        </w:rPr>
        <w:t>Ponadto, w prawie niemieckim powszechna jest w</w:t>
      </w:r>
      <w:r w:rsidR="004B4C0E" w:rsidRPr="00F86CFA">
        <w:rPr>
          <w:sz w:val="22"/>
          <w:szCs w:val="22"/>
        </w:rPr>
        <w:t> </w:t>
      </w:r>
      <w:r w:rsidR="004935BC" w:rsidRPr="00F86CFA">
        <w:rPr>
          <w:sz w:val="22"/>
          <w:szCs w:val="22"/>
        </w:rPr>
        <w:t>stosunkach przedsiębiorców z bankami konstrukcja prawna tzw. poręczenia generalnego cz</w:t>
      </w:r>
      <w:r w:rsidR="004B4C0E" w:rsidRPr="00F86CFA">
        <w:rPr>
          <w:sz w:val="22"/>
          <w:szCs w:val="22"/>
        </w:rPr>
        <w:t>y </w:t>
      </w:r>
      <w:r w:rsidR="004935BC" w:rsidRPr="00F86CFA">
        <w:rPr>
          <w:sz w:val="22"/>
          <w:szCs w:val="22"/>
        </w:rPr>
        <w:t xml:space="preserve">globalnego (niem. </w:t>
      </w:r>
      <w:proofErr w:type="spellStart"/>
      <w:r w:rsidR="004935BC" w:rsidRPr="00F86CFA">
        <w:rPr>
          <w:i/>
          <w:sz w:val="22"/>
          <w:szCs w:val="22"/>
        </w:rPr>
        <w:t>Globalbürgschaft</w:t>
      </w:r>
      <w:proofErr w:type="spellEnd"/>
      <w:r w:rsidR="004935BC" w:rsidRPr="00F86CFA">
        <w:rPr>
          <w:sz w:val="22"/>
          <w:szCs w:val="22"/>
        </w:rPr>
        <w:t>), obejmującego swym zakresem wszelkie już istniejące lub</w:t>
      </w:r>
      <w:r w:rsidR="004B4C0E" w:rsidRPr="00F86CFA">
        <w:rPr>
          <w:sz w:val="22"/>
          <w:szCs w:val="22"/>
        </w:rPr>
        <w:t> </w:t>
      </w:r>
      <w:r w:rsidR="004935BC" w:rsidRPr="00F86CFA">
        <w:rPr>
          <w:sz w:val="22"/>
          <w:szCs w:val="22"/>
        </w:rPr>
        <w:t xml:space="preserve">przyszłe zobowiązania kredytowe dłużnika głównego w danym banku (por. w polskiej literaturze: M. </w:t>
      </w:r>
      <w:proofErr w:type="spellStart"/>
      <w:r w:rsidR="004935BC" w:rsidRPr="00F86CFA">
        <w:rPr>
          <w:sz w:val="22"/>
          <w:szCs w:val="22"/>
        </w:rPr>
        <w:t>Sychowicz</w:t>
      </w:r>
      <w:proofErr w:type="spellEnd"/>
      <w:r w:rsidR="004935BC" w:rsidRPr="00F86CFA">
        <w:rPr>
          <w:sz w:val="22"/>
          <w:szCs w:val="22"/>
        </w:rPr>
        <w:t xml:space="preserve">, [w:] G. Bieniek, </w:t>
      </w:r>
      <w:r w:rsidR="004935BC" w:rsidRPr="00F86CFA">
        <w:rPr>
          <w:i/>
          <w:sz w:val="22"/>
          <w:szCs w:val="22"/>
        </w:rPr>
        <w:t>Komentarz do kodeksu cywilnego. Księga trzecia. Zobowiązania</w:t>
      </w:r>
      <w:r w:rsidR="004935BC" w:rsidRPr="00F86CFA">
        <w:rPr>
          <w:sz w:val="22"/>
          <w:szCs w:val="22"/>
        </w:rPr>
        <w:t xml:space="preserve">. t. II, Warszawa 2009, art. 876, pkt 16 oraz Z.  Radwański, [w:] J. Panowicz-Lipska (red.), </w:t>
      </w:r>
      <w:r w:rsidR="004935BC" w:rsidRPr="00F86CFA">
        <w:rPr>
          <w:i/>
          <w:sz w:val="22"/>
          <w:szCs w:val="22"/>
        </w:rPr>
        <w:t>System prawa prywatnego, Prawo zobowiązań – część szczegółowa</w:t>
      </w:r>
      <w:r w:rsidR="004935BC" w:rsidRPr="00F86CFA">
        <w:rPr>
          <w:sz w:val="22"/>
          <w:szCs w:val="22"/>
        </w:rPr>
        <w:t>, t. 8, Warszawa 2004, s. 433 i powołana tam literatura). Konstrukcja taka, będąca w istocie odmianą poręczenia</w:t>
      </w:r>
      <w:r w:rsidR="00134E21" w:rsidRPr="00F86CFA">
        <w:rPr>
          <w:sz w:val="22"/>
          <w:szCs w:val="22"/>
        </w:rPr>
        <w:t xml:space="preserve"> za</w:t>
      </w:r>
      <w:r w:rsidR="004935BC" w:rsidRPr="00F86CFA">
        <w:rPr>
          <w:sz w:val="22"/>
          <w:szCs w:val="22"/>
        </w:rPr>
        <w:t xml:space="preserve"> zobowiązania przyszłe, nie jest szeroko znana w polskim obrocie prawnym, niemniej jednak stanowi akceptowane przez sądy niemieckie zabezpieczenie wierzytelności. Choć </w:t>
      </w:r>
      <w:proofErr w:type="spellStart"/>
      <w:r w:rsidR="004935BC" w:rsidRPr="00F86CFA">
        <w:rPr>
          <w:i/>
          <w:sz w:val="22"/>
          <w:szCs w:val="22"/>
        </w:rPr>
        <w:t>Globalbürgschaft</w:t>
      </w:r>
      <w:proofErr w:type="spellEnd"/>
      <w:r w:rsidR="004935BC" w:rsidRPr="00F86CFA">
        <w:rPr>
          <w:sz w:val="22"/>
          <w:szCs w:val="22"/>
        </w:rPr>
        <w:t xml:space="preserve"> z definicji zakłada przyjmowanie odpowiedzialności za zobowiązania, których nie można maksymalnie skonkretyzować, ponieważ jeszcze nie istnieją, to w przedmiotowej sprawie </w:t>
      </w:r>
      <w:r w:rsidR="002765EE" w:rsidRPr="00F86CFA">
        <w:rPr>
          <w:sz w:val="22"/>
          <w:szCs w:val="22"/>
        </w:rPr>
        <w:t>powyższa</w:t>
      </w:r>
      <w:r w:rsidR="004935BC" w:rsidRPr="00F86CFA">
        <w:rPr>
          <w:sz w:val="22"/>
          <w:szCs w:val="22"/>
        </w:rPr>
        <w:t xml:space="preserve"> okoliczność </w:t>
      </w:r>
      <w:r w:rsidR="002765EE" w:rsidRPr="00F86CFA">
        <w:rPr>
          <w:sz w:val="22"/>
          <w:szCs w:val="22"/>
        </w:rPr>
        <w:t>nie może</w:t>
      </w:r>
      <w:r w:rsidR="004935BC" w:rsidRPr="00F86CFA">
        <w:rPr>
          <w:sz w:val="22"/>
          <w:szCs w:val="22"/>
        </w:rPr>
        <w:t xml:space="preserve"> </w:t>
      </w:r>
      <w:r w:rsidR="00134E21" w:rsidRPr="00F86CFA">
        <w:rPr>
          <w:sz w:val="22"/>
          <w:szCs w:val="22"/>
        </w:rPr>
        <w:t>prowadzić do</w:t>
      </w:r>
      <w:r w:rsidR="004B4C0E" w:rsidRPr="00F86CFA">
        <w:rPr>
          <w:sz w:val="22"/>
          <w:szCs w:val="22"/>
        </w:rPr>
        <w:t> </w:t>
      </w:r>
      <w:r w:rsidR="00134E21" w:rsidRPr="00F86CFA">
        <w:rPr>
          <w:sz w:val="22"/>
          <w:szCs w:val="22"/>
        </w:rPr>
        <w:t>nieważności umowy</w:t>
      </w:r>
      <w:r w:rsidR="004935BC" w:rsidRPr="00F86CFA">
        <w:rPr>
          <w:sz w:val="22"/>
          <w:szCs w:val="22"/>
        </w:rPr>
        <w:t>. W samej treści umowy poręczenia doprecyzowane są poszczeg</w:t>
      </w:r>
      <w:r w:rsidR="00635B3D" w:rsidRPr="00F86CFA">
        <w:rPr>
          <w:sz w:val="22"/>
          <w:szCs w:val="22"/>
        </w:rPr>
        <w:t>ólne typy zobowiązań, za które P</w:t>
      </w:r>
      <w:r w:rsidR="004935BC" w:rsidRPr="00F86CFA">
        <w:rPr>
          <w:sz w:val="22"/>
          <w:szCs w:val="22"/>
        </w:rPr>
        <w:t xml:space="preserve">ozwana poręcza, co uchyla zarzut niedostatecznego określenia zobowiązania. </w:t>
      </w:r>
      <w:r w:rsidR="00635B3D" w:rsidRPr="00F86CFA">
        <w:rPr>
          <w:sz w:val="22"/>
          <w:szCs w:val="22"/>
        </w:rPr>
        <w:t xml:space="preserve">Ponadto </w:t>
      </w:r>
      <w:proofErr w:type="gramStart"/>
      <w:r w:rsidR="00635B3D" w:rsidRPr="00F86CFA">
        <w:rPr>
          <w:sz w:val="22"/>
          <w:szCs w:val="22"/>
        </w:rPr>
        <w:t>P</w:t>
      </w:r>
      <w:r w:rsidR="004935BC" w:rsidRPr="00F86CFA">
        <w:rPr>
          <w:sz w:val="22"/>
          <w:szCs w:val="22"/>
        </w:rPr>
        <w:t>ozwana,</w:t>
      </w:r>
      <w:proofErr w:type="gramEnd"/>
      <w:r w:rsidR="004935BC" w:rsidRPr="00F86CFA">
        <w:rPr>
          <w:sz w:val="22"/>
          <w:szCs w:val="22"/>
        </w:rPr>
        <w:t xml:space="preserve"> jako osoba zajmująca się księgowością i korespondencją spółki, </w:t>
      </w:r>
      <w:r w:rsidR="00635B3D" w:rsidRPr="00F86CFA">
        <w:rPr>
          <w:sz w:val="22"/>
          <w:szCs w:val="22"/>
        </w:rPr>
        <w:t>posiada niebagatelną wiedzę</w:t>
      </w:r>
      <w:r w:rsidR="004935BC" w:rsidRPr="00F86CFA">
        <w:rPr>
          <w:sz w:val="22"/>
          <w:szCs w:val="22"/>
        </w:rPr>
        <w:t xml:space="preserve"> </w:t>
      </w:r>
      <w:r w:rsidR="00635B3D" w:rsidRPr="00F86CFA">
        <w:rPr>
          <w:sz w:val="22"/>
          <w:szCs w:val="22"/>
        </w:rPr>
        <w:t>o zaciąganych</w:t>
      </w:r>
      <w:r w:rsidR="004935BC" w:rsidRPr="00F86CFA">
        <w:rPr>
          <w:sz w:val="22"/>
          <w:szCs w:val="22"/>
        </w:rPr>
        <w:t xml:space="preserve"> przez przedsiębiorstwo zobowiązania</w:t>
      </w:r>
      <w:r w:rsidR="00635B3D" w:rsidRPr="00F86CFA">
        <w:rPr>
          <w:sz w:val="22"/>
          <w:szCs w:val="22"/>
        </w:rPr>
        <w:t>ch i</w:t>
      </w:r>
      <w:r w:rsidR="004935BC" w:rsidRPr="00F86CFA">
        <w:rPr>
          <w:sz w:val="22"/>
          <w:szCs w:val="22"/>
        </w:rPr>
        <w:t xml:space="preserve"> ma wpływ na </w:t>
      </w:r>
      <w:r w:rsidR="00635B3D" w:rsidRPr="00F86CFA">
        <w:rPr>
          <w:sz w:val="22"/>
          <w:szCs w:val="22"/>
        </w:rPr>
        <w:t>działalność dłużnika głównego. Wpływ na kontrolę</w:t>
      </w:r>
      <w:r w:rsidR="004935BC" w:rsidRPr="00F86CFA">
        <w:rPr>
          <w:sz w:val="22"/>
          <w:szCs w:val="22"/>
        </w:rPr>
        <w:t xml:space="preserve"> nad sferą finansową działalności spółki, a już na pewno wiedza na temat zaciąganych przez spółkę zobowiązań</w:t>
      </w:r>
      <w:r w:rsidR="00134E21" w:rsidRPr="00F86CFA">
        <w:rPr>
          <w:sz w:val="22"/>
          <w:szCs w:val="22"/>
        </w:rPr>
        <w:t>,</w:t>
      </w:r>
      <w:r w:rsidR="004935BC" w:rsidRPr="00F86CFA">
        <w:rPr>
          <w:sz w:val="22"/>
          <w:szCs w:val="22"/>
        </w:rPr>
        <w:t xml:space="preserve"> uzasadnia </w:t>
      </w:r>
      <w:r w:rsidR="004B4C0E" w:rsidRPr="00F86CFA">
        <w:rPr>
          <w:sz w:val="22"/>
          <w:szCs w:val="22"/>
        </w:rPr>
        <w:t>bezpodstawność</w:t>
      </w:r>
      <w:r w:rsidR="004935BC" w:rsidRPr="00F86CFA">
        <w:rPr>
          <w:sz w:val="22"/>
          <w:szCs w:val="22"/>
        </w:rPr>
        <w:t xml:space="preserve"> argumentów o</w:t>
      </w:r>
      <w:r w:rsidR="004B4C0E" w:rsidRPr="00F86CFA">
        <w:rPr>
          <w:sz w:val="22"/>
          <w:szCs w:val="22"/>
        </w:rPr>
        <w:t> </w:t>
      </w:r>
      <w:r w:rsidR="004935BC" w:rsidRPr="00F86CFA">
        <w:rPr>
          <w:sz w:val="22"/>
          <w:szCs w:val="22"/>
        </w:rPr>
        <w:t xml:space="preserve">braku wpływu </w:t>
      </w:r>
      <w:r w:rsidR="00635B3D" w:rsidRPr="00F86CFA">
        <w:rPr>
          <w:sz w:val="22"/>
          <w:szCs w:val="22"/>
        </w:rPr>
        <w:t>P</w:t>
      </w:r>
      <w:r w:rsidR="004935BC" w:rsidRPr="00F86CFA">
        <w:rPr>
          <w:sz w:val="22"/>
          <w:szCs w:val="22"/>
        </w:rPr>
        <w:t>ozwanej na wysokość poręczanego długu.</w:t>
      </w:r>
      <w:r w:rsidR="00BB6D8A" w:rsidRPr="00F86CFA">
        <w:rPr>
          <w:sz w:val="22"/>
          <w:szCs w:val="22"/>
        </w:rPr>
        <w:t xml:space="preserve"> Zgodnie z wybranym przez strony prawem, tj. prawem niemieckim, umowa poręczenia jest więc ważna i wywołuje wszystkie skutki prawne w niej przewidziane. </w:t>
      </w:r>
    </w:p>
    <w:p w14:paraId="68150735" w14:textId="77777777" w:rsidR="004935BC" w:rsidRPr="00F86CFA" w:rsidRDefault="004935BC" w:rsidP="00732DC8">
      <w:pPr>
        <w:ind w:left="0" w:firstLine="0"/>
        <w:rPr>
          <w:sz w:val="22"/>
          <w:szCs w:val="22"/>
        </w:rPr>
      </w:pPr>
    </w:p>
    <w:p w14:paraId="7D17D384" w14:textId="7B482B61" w:rsidR="003C45A0" w:rsidRPr="00F86CFA" w:rsidRDefault="003C45A0" w:rsidP="00732DC8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Pozbawione podstaw </w:t>
      </w:r>
      <w:r w:rsidR="009E33B3" w:rsidRPr="00F86CFA">
        <w:rPr>
          <w:sz w:val="22"/>
          <w:szCs w:val="22"/>
        </w:rPr>
        <w:t xml:space="preserve">byłoby również dopatrywanie się sprzeczności umowy z dobrymi obyczajami, </w:t>
      </w:r>
      <w:r w:rsidR="000D47AA" w:rsidRPr="00F86CFA">
        <w:rPr>
          <w:sz w:val="22"/>
          <w:szCs w:val="22"/>
        </w:rPr>
        <w:t>o </w:t>
      </w:r>
      <w:r w:rsidR="00236365" w:rsidRPr="00F86CFA">
        <w:rPr>
          <w:sz w:val="22"/>
          <w:szCs w:val="22"/>
        </w:rPr>
        <w:t>której</w:t>
      </w:r>
      <w:r w:rsidR="009E33B3" w:rsidRPr="00F86CFA">
        <w:rPr>
          <w:sz w:val="22"/>
          <w:szCs w:val="22"/>
        </w:rPr>
        <w:t xml:space="preserve"> mowa w § 138 niemieckiego kodeksu cywilnego. Zawarta umowa poręczenia jest typową umową tego rodzaju, standardowo stosowaną w obrocie prawnym. W okolicznościach niniejszej sprawy, jej zawarcie służyło zabezpieczeniu wierzytelności HB Banku, które wynikały z finansowania przez długi okres</w:t>
      </w:r>
      <w:r w:rsidR="00524EC3" w:rsidRPr="00F86CFA">
        <w:rPr>
          <w:sz w:val="22"/>
          <w:szCs w:val="22"/>
        </w:rPr>
        <w:t xml:space="preserve"> działalności gospodarczej męża Pozwanej i</w:t>
      </w:r>
      <w:r w:rsidR="00236365" w:rsidRPr="00F86CFA">
        <w:rPr>
          <w:sz w:val="22"/>
          <w:szCs w:val="22"/>
        </w:rPr>
        <w:t xml:space="preserve"> było niezbędne, aby współpraca o takim charakterze mogło zostać utrzymana – poręczenie miało więc gospodarczy sens w świetle stosunków między stronami. Ponadto, poręczycielka jest osobą dorosłą, posiada wyższe wykształcenie i brała udział w prowadzeniu działalności przez spółkę, toteż całkowicie bezzasadne są twierdzenia</w:t>
      </w:r>
      <w:r w:rsidR="000D47AA" w:rsidRPr="00F86CFA">
        <w:rPr>
          <w:sz w:val="22"/>
          <w:szCs w:val="22"/>
        </w:rPr>
        <w:t xml:space="preserve"> </w:t>
      </w:r>
      <w:r w:rsidR="004B4C0E" w:rsidRPr="00F86CFA">
        <w:rPr>
          <w:sz w:val="22"/>
          <w:szCs w:val="22"/>
        </w:rPr>
        <w:t>S</w:t>
      </w:r>
      <w:r w:rsidR="000D47AA" w:rsidRPr="00F86CFA">
        <w:rPr>
          <w:sz w:val="22"/>
          <w:szCs w:val="22"/>
        </w:rPr>
        <w:t>ądu I </w:t>
      </w:r>
      <w:r w:rsidR="00236365" w:rsidRPr="00F86CFA">
        <w:rPr>
          <w:sz w:val="22"/>
          <w:szCs w:val="22"/>
        </w:rPr>
        <w:t>instancji sugerujące, że zawarcie przez nią umowy mogło stanowić wykorzystanie jej rzekomego słabszego położenia. Należy również przypomnieć, że pozbawione oparcia w materiale dowodowym są twierdzenia Pozwanej o rzekomym nieprawidłowym zachowaniu pracownika oddziału Powoda, który brał udział w zawarciu umowy poręczenia. Ponadto, niezbędne jest uwzględnienie faktu, że klauzula generalna „dobrych obyczajów”, z uwagi na swą nieostrą treść, powi</w:t>
      </w:r>
      <w:r w:rsidR="00F86CFA">
        <w:rPr>
          <w:sz w:val="22"/>
          <w:szCs w:val="22"/>
        </w:rPr>
        <w:t>nna mieć zastosowanie jedynie w </w:t>
      </w:r>
      <w:r w:rsidR="00236365" w:rsidRPr="00F86CFA">
        <w:rPr>
          <w:sz w:val="22"/>
          <w:szCs w:val="22"/>
        </w:rPr>
        <w:t xml:space="preserve">przypadkach </w:t>
      </w:r>
      <w:r w:rsidR="00BB6D8A" w:rsidRPr="00F86CFA">
        <w:rPr>
          <w:sz w:val="22"/>
          <w:szCs w:val="22"/>
        </w:rPr>
        <w:t>wyjątkowych; korzystanie z niej w sposób nieostrożny stwarzałoby bowiem nieakceptowalne zagrożenie dla bezpieczeństwa obrotu prawnego.</w:t>
      </w:r>
    </w:p>
    <w:p w14:paraId="1F46D7A2" w14:textId="77777777" w:rsidR="00BB6D8A" w:rsidRPr="00F86CFA" w:rsidRDefault="00BB6D8A" w:rsidP="00732DC8">
      <w:pPr>
        <w:ind w:left="0" w:firstLine="0"/>
        <w:rPr>
          <w:sz w:val="22"/>
          <w:szCs w:val="22"/>
        </w:rPr>
      </w:pPr>
    </w:p>
    <w:p w14:paraId="1E41DD6A" w14:textId="7DAFA33A" w:rsidR="007E680F" w:rsidRPr="00F86CFA" w:rsidRDefault="00E54D88" w:rsidP="0043639E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bCs/>
        </w:rPr>
        <w:t>Błędne przyjęcie skutecznego odwołania oświadczenia woli przez pozwaną</w:t>
      </w:r>
    </w:p>
    <w:p w14:paraId="43772C89" w14:textId="4EE49B81" w:rsidR="00E54D88" w:rsidRPr="00F86CFA" w:rsidRDefault="00E54D88" w:rsidP="00210D36">
      <w:pPr>
        <w:ind w:left="0" w:firstLine="0"/>
        <w:rPr>
          <w:sz w:val="22"/>
          <w:szCs w:val="22"/>
        </w:rPr>
      </w:pPr>
    </w:p>
    <w:p w14:paraId="73B53FDD" w14:textId="350D6514" w:rsidR="001E626E" w:rsidRPr="00F86CFA" w:rsidRDefault="00034042" w:rsidP="00210D36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Złożone przez Pozwaną w dniu 30 kwietnia 2018 r. oświadczenie o uchyleniu się od skutków udzielenia poręczenia, zgodnie z poczynionymi powyżej uwagami, winno podlegać ocenie w świetle prawa niemieckiego. </w:t>
      </w:r>
      <w:r w:rsidR="00080949" w:rsidRPr="00F86CFA">
        <w:rPr>
          <w:sz w:val="22"/>
          <w:szCs w:val="22"/>
        </w:rPr>
        <w:t>Wynika to w sposób jednoznaczny z braku uregulowania właściwości prawa do</w:t>
      </w:r>
      <w:r w:rsidR="004B4C0E" w:rsidRPr="00F86CFA">
        <w:rPr>
          <w:sz w:val="22"/>
          <w:szCs w:val="22"/>
        </w:rPr>
        <w:t> </w:t>
      </w:r>
      <w:r w:rsidR="00080949" w:rsidRPr="00F86CFA">
        <w:rPr>
          <w:sz w:val="22"/>
          <w:szCs w:val="22"/>
        </w:rPr>
        <w:t>oceny prawnej doniosłości wad oświadczeń woli przez rozporządzenie Rzym I. Zgodnie z</w:t>
      </w:r>
      <w:r w:rsidR="004B4C0E" w:rsidRPr="00F86CFA">
        <w:rPr>
          <w:sz w:val="22"/>
          <w:szCs w:val="22"/>
        </w:rPr>
        <w:t> </w:t>
      </w:r>
      <w:r w:rsidR="00080949" w:rsidRPr="00F86CFA">
        <w:rPr>
          <w:sz w:val="22"/>
          <w:szCs w:val="22"/>
        </w:rPr>
        <w:t xml:space="preserve">poglądami </w:t>
      </w:r>
      <w:r w:rsidR="00597393" w:rsidRPr="00F86CFA">
        <w:rPr>
          <w:sz w:val="22"/>
          <w:szCs w:val="22"/>
        </w:rPr>
        <w:t xml:space="preserve">doktryny, powyższa okoliczność </w:t>
      </w:r>
      <w:r w:rsidR="00080949" w:rsidRPr="00F86CFA">
        <w:rPr>
          <w:sz w:val="22"/>
          <w:szCs w:val="22"/>
        </w:rPr>
        <w:t>skutkuje koniecznością przyjęcia, ż</w:t>
      </w:r>
      <w:r w:rsidR="004B4C0E" w:rsidRPr="00F86CFA">
        <w:rPr>
          <w:sz w:val="22"/>
          <w:szCs w:val="22"/>
        </w:rPr>
        <w:t>e</w:t>
      </w:r>
      <w:r w:rsidR="00080949" w:rsidRPr="00F86CFA">
        <w:rPr>
          <w:sz w:val="22"/>
          <w:szCs w:val="22"/>
        </w:rPr>
        <w:t xml:space="preserve"> wpływ wad oświadcze</w:t>
      </w:r>
      <w:r w:rsidR="004B4C0E" w:rsidRPr="00F86CFA">
        <w:rPr>
          <w:sz w:val="22"/>
          <w:szCs w:val="22"/>
        </w:rPr>
        <w:t>ń</w:t>
      </w:r>
      <w:r w:rsidR="00080949" w:rsidRPr="00F86CFA">
        <w:rPr>
          <w:sz w:val="22"/>
          <w:szCs w:val="22"/>
        </w:rPr>
        <w:t xml:space="preserve"> woli na ważność wyboru oceniać należy według prawa merytorycznego wybranego (M.</w:t>
      </w:r>
      <w:r w:rsidR="004B4C0E" w:rsidRPr="00F86CFA">
        <w:rPr>
          <w:sz w:val="22"/>
          <w:szCs w:val="22"/>
        </w:rPr>
        <w:t> </w:t>
      </w:r>
      <w:r w:rsidR="00080949" w:rsidRPr="00F86CFA">
        <w:rPr>
          <w:sz w:val="22"/>
          <w:szCs w:val="22"/>
        </w:rPr>
        <w:t xml:space="preserve">Pazdan, [w:] </w:t>
      </w:r>
      <w:r w:rsidR="00080949" w:rsidRPr="00F86CFA">
        <w:rPr>
          <w:i/>
          <w:sz w:val="22"/>
          <w:szCs w:val="22"/>
        </w:rPr>
        <w:t>System Prawa Prywatnego</w:t>
      </w:r>
      <w:r w:rsidR="003F7358" w:rsidRPr="00F86CFA">
        <w:rPr>
          <w:i/>
          <w:sz w:val="22"/>
          <w:szCs w:val="22"/>
        </w:rPr>
        <w:t>. Tom</w:t>
      </w:r>
      <w:r w:rsidR="00080949" w:rsidRPr="00F86CFA">
        <w:rPr>
          <w:i/>
          <w:sz w:val="22"/>
          <w:szCs w:val="22"/>
        </w:rPr>
        <w:t xml:space="preserve"> 20B</w:t>
      </w:r>
      <w:r w:rsidR="003F7358" w:rsidRPr="00F86CFA">
        <w:rPr>
          <w:i/>
          <w:sz w:val="22"/>
          <w:szCs w:val="22"/>
        </w:rPr>
        <w:t xml:space="preserve">. Prawo prywatne </w:t>
      </w:r>
      <w:proofErr w:type="spellStart"/>
      <w:r w:rsidR="003F7358" w:rsidRPr="00F86CFA">
        <w:rPr>
          <w:i/>
          <w:sz w:val="22"/>
          <w:szCs w:val="22"/>
        </w:rPr>
        <w:t>międzynarodowe</w:t>
      </w:r>
      <w:proofErr w:type="spellEnd"/>
      <w:r w:rsidR="00D428FB" w:rsidRPr="00F86CFA">
        <w:rPr>
          <w:sz w:val="22"/>
          <w:szCs w:val="22"/>
        </w:rPr>
        <w:t xml:space="preserve">, s. 81 i 82, </w:t>
      </w:r>
      <w:proofErr w:type="spellStart"/>
      <w:r w:rsidR="00D428FB" w:rsidRPr="00F86CFA">
        <w:rPr>
          <w:sz w:val="22"/>
          <w:szCs w:val="22"/>
        </w:rPr>
        <w:t>n</w:t>
      </w:r>
      <w:r w:rsidR="00080949" w:rsidRPr="00F86CFA">
        <w:rPr>
          <w:sz w:val="22"/>
          <w:szCs w:val="22"/>
        </w:rPr>
        <w:t>b</w:t>
      </w:r>
      <w:proofErr w:type="spellEnd"/>
      <w:r w:rsidR="00080949" w:rsidRPr="00F86CFA">
        <w:rPr>
          <w:sz w:val="22"/>
          <w:szCs w:val="22"/>
        </w:rPr>
        <w:t xml:space="preserve"> 114).</w:t>
      </w:r>
    </w:p>
    <w:p w14:paraId="7E64FBE0" w14:textId="77777777" w:rsidR="001E626E" w:rsidRPr="00F86CFA" w:rsidRDefault="001E626E" w:rsidP="00210D36">
      <w:pPr>
        <w:ind w:left="0" w:firstLine="0"/>
        <w:rPr>
          <w:sz w:val="22"/>
          <w:szCs w:val="22"/>
        </w:rPr>
      </w:pPr>
    </w:p>
    <w:p w14:paraId="3B78E686" w14:textId="526E1562" w:rsidR="00080949" w:rsidRPr="00F86CFA" w:rsidRDefault="001E626E" w:rsidP="00210D36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W tym miejscu należy ponownie z całą stanowczością podkreślić, że działanie pracownika banku nie było naznaczone żadnymi nieprawidłowościami, które mogłyby sugerować kwalifikację oświadczenia woli jako złożonego pod wpływem podstępu lub groźby. W związku z tym należy rozpatrywać złożone oświadczenie woli jedynie w kontekście złożenia go przez pozwaną pod wpływem błędu.</w:t>
      </w:r>
    </w:p>
    <w:p w14:paraId="5DEC696D" w14:textId="51955722" w:rsidR="0040556A" w:rsidRPr="00F86CFA" w:rsidRDefault="0040556A" w:rsidP="00210D36">
      <w:pPr>
        <w:ind w:left="0" w:firstLine="0"/>
        <w:rPr>
          <w:sz w:val="22"/>
          <w:szCs w:val="22"/>
        </w:rPr>
      </w:pPr>
    </w:p>
    <w:p w14:paraId="693C99B4" w14:textId="210BE87B" w:rsidR="0040556A" w:rsidRPr="00F86CFA" w:rsidRDefault="0040556A" w:rsidP="00210D36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Uchylenie się od złożonego oświadczenia woli </w:t>
      </w:r>
      <w:r w:rsidR="00732DC8" w:rsidRPr="00F86CFA">
        <w:rPr>
          <w:sz w:val="22"/>
          <w:szCs w:val="22"/>
        </w:rPr>
        <w:t xml:space="preserve">pod wpływem błędu </w:t>
      </w:r>
      <w:r w:rsidRPr="00F86CFA">
        <w:rPr>
          <w:sz w:val="22"/>
          <w:szCs w:val="22"/>
        </w:rPr>
        <w:t>regulują na gruncie prawa niemieckiego przepisy</w:t>
      </w:r>
      <w:r w:rsidR="00732DC8" w:rsidRPr="00F86CFA">
        <w:rPr>
          <w:sz w:val="22"/>
          <w:szCs w:val="22"/>
        </w:rPr>
        <w:t xml:space="preserve"> § 119 i § 121</w:t>
      </w:r>
      <w:r w:rsidRPr="00F86CFA">
        <w:rPr>
          <w:sz w:val="22"/>
          <w:szCs w:val="22"/>
        </w:rPr>
        <w:t xml:space="preserve"> niemieckiego kodeksu cywilnego. W pierwszej kolejności należy stwierdzić, </w:t>
      </w:r>
      <w:r w:rsidR="004B4C0E" w:rsidRPr="00F86CFA">
        <w:rPr>
          <w:sz w:val="22"/>
          <w:szCs w:val="22"/>
        </w:rPr>
        <w:t>że</w:t>
      </w:r>
      <w:r w:rsidRPr="00F86CFA">
        <w:rPr>
          <w:sz w:val="22"/>
          <w:szCs w:val="22"/>
        </w:rPr>
        <w:t xml:space="preserve"> nie ziściła się żadna z przesłanek, która pozwalałaby na stwierdzenie</w:t>
      </w:r>
      <w:r w:rsidR="004B4C0E" w:rsidRPr="00F86CFA">
        <w:rPr>
          <w:sz w:val="22"/>
          <w:szCs w:val="22"/>
        </w:rPr>
        <w:t>, że</w:t>
      </w:r>
      <w:r w:rsidRPr="00F86CFA">
        <w:rPr>
          <w:sz w:val="22"/>
          <w:szCs w:val="22"/>
        </w:rPr>
        <w:t xml:space="preserve"> </w:t>
      </w:r>
      <w:r w:rsidR="004B4C0E" w:rsidRPr="00F86CFA">
        <w:rPr>
          <w:sz w:val="22"/>
          <w:szCs w:val="22"/>
        </w:rPr>
        <w:t>P</w:t>
      </w:r>
      <w:r w:rsidRPr="00F86CFA">
        <w:rPr>
          <w:sz w:val="22"/>
          <w:szCs w:val="22"/>
        </w:rPr>
        <w:t>ozwana mogła uchylić się od złożonego przez siebie oświadczenia</w:t>
      </w:r>
      <w:r w:rsidR="004B4C0E" w:rsidRPr="00F86CFA">
        <w:rPr>
          <w:sz w:val="22"/>
          <w:szCs w:val="22"/>
        </w:rPr>
        <w:t xml:space="preserve">. </w:t>
      </w:r>
      <w:r w:rsidR="003A19EF" w:rsidRPr="00F86CFA">
        <w:rPr>
          <w:sz w:val="22"/>
          <w:szCs w:val="22"/>
        </w:rPr>
        <w:t>P</w:t>
      </w:r>
      <w:r w:rsidR="001E626E" w:rsidRPr="00F86CFA">
        <w:rPr>
          <w:sz w:val="22"/>
          <w:szCs w:val="22"/>
        </w:rPr>
        <w:t>ozwana rozumiała treść i znaczenie podejmowanej przez siebie czynności, nie zaistniał również błąd</w:t>
      </w:r>
      <w:r w:rsidR="00EB4D32" w:rsidRPr="00F86CFA">
        <w:rPr>
          <w:sz w:val="22"/>
          <w:szCs w:val="22"/>
        </w:rPr>
        <w:t xml:space="preserve"> lub nieporozumienie</w:t>
      </w:r>
      <w:r w:rsidR="001E626E" w:rsidRPr="00F86CFA">
        <w:rPr>
          <w:sz w:val="22"/>
          <w:szCs w:val="22"/>
        </w:rPr>
        <w:t xml:space="preserve"> co do jakiejkolwiek części </w:t>
      </w:r>
      <w:r w:rsidR="00EB4D32" w:rsidRPr="00F86CFA">
        <w:rPr>
          <w:sz w:val="22"/>
          <w:szCs w:val="22"/>
        </w:rPr>
        <w:t xml:space="preserve">umowy poręczenia. </w:t>
      </w:r>
      <w:r w:rsidRPr="00F86CFA">
        <w:rPr>
          <w:sz w:val="22"/>
          <w:szCs w:val="22"/>
        </w:rPr>
        <w:t>Po drugie</w:t>
      </w:r>
      <w:r w:rsidR="0033220B" w:rsidRPr="00F86CFA">
        <w:rPr>
          <w:sz w:val="22"/>
          <w:szCs w:val="22"/>
        </w:rPr>
        <w:t>, niemiecki kodeks cywilny wymaga, aby</w:t>
      </w:r>
      <w:r w:rsidR="004B4C0E" w:rsidRPr="00F86CFA">
        <w:rPr>
          <w:sz w:val="22"/>
          <w:szCs w:val="22"/>
        </w:rPr>
        <w:t> </w:t>
      </w:r>
      <w:r w:rsidR="0033220B" w:rsidRPr="00F86CFA">
        <w:rPr>
          <w:sz w:val="22"/>
          <w:szCs w:val="22"/>
        </w:rPr>
        <w:t>oświadczenie o uchyleniu się od skutków oświadczenia woli było złożone bezzwłocznie (niem.</w:t>
      </w:r>
      <w:r w:rsidR="004B4C0E" w:rsidRPr="00F86CFA">
        <w:rPr>
          <w:sz w:val="22"/>
          <w:szCs w:val="22"/>
        </w:rPr>
        <w:t> </w:t>
      </w:r>
      <w:proofErr w:type="spellStart"/>
      <w:r w:rsidR="0033220B" w:rsidRPr="00F86CFA">
        <w:rPr>
          <w:i/>
          <w:sz w:val="22"/>
          <w:szCs w:val="22"/>
        </w:rPr>
        <w:t>unverzüglich</w:t>
      </w:r>
      <w:proofErr w:type="spellEnd"/>
      <w:r w:rsidR="00F86CFA">
        <w:rPr>
          <w:sz w:val="22"/>
          <w:szCs w:val="22"/>
        </w:rPr>
        <w:t>), licząc od chwili, w </w:t>
      </w:r>
      <w:r w:rsidR="0033220B" w:rsidRPr="00F86CFA">
        <w:rPr>
          <w:sz w:val="22"/>
          <w:szCs w:val="22"/>
        </w:rPr>
        <w:t>której osoba uprawniona do uchylenia się od skutków oświadc</w:t>
      </w:r>
      <w:r w:rsidR="00F86CFA">
        <w:rPr>
          <w:sz w:val="22"/>
          <w:szCs w:val="22"/>
        </w:rPr>
        <w:t>zenia woli powzięła wiadomość o </w:t>
      </w:r>
      <w:r w:rsidR="0033220B" w:rsidRPr="00F86CFA">
        <w:rPr>
          <w:sz w:val="22"/>
          <w:szCs w:val="22"/>
        </w:rPr>
        <w:t>wadzie. Pozwana udzieliła poręczenia w dniu 22</w:t>
      </w:r>
      <w:r w:rsidR="003A19EF" w:rsidRPr="00F86CFA">
        <w:rPr>
          <w:sz w:val="22"/>
          <w:szCs w:val="22"/>
        </w:rPr>
        <w:t> </w:t>
      </w:r>
      <w:r w:rsidR="0033220B" w:rsidRPr="00F86CFA">
        <w:rPr>
          <w:sz w:val="22"/>
          <w:szCs w:val="22"/>
        </w:rPr>
        <w:t>października 2017 roku, a oświadczenie o uchyleniu się od skutków poręczenia złożyła w dniu 30</w:t>
      </w:r>
      <w:r w:rsidR="003A19EF" w:rsidRPr="00F86CFA">
        <w:rPr>
          <w:sz w:val="22"/>
          <w:szCs w:val="22"/>
        </w:rPr>
        <w:t> </w:t>
      </w:r>
      <w:r w:rsidR="0033220B" w:rsidRPr="00F86CFA">
        <w:rPr>
          <w:sz w:val="22"/>
          <w:szCs w:val="22"/>
        </w:rPr>
        <w:t xml:space="preserve">kwietnia 2018 roku, więc pomiędzy jednym a drugim zdarzeniem upłynęło ponad 6 miesięcy. Złożenia oświadczenia po tak długim czasie nie można uznać za działanie bezzwłoczne, mając na uwadze </w:t>
      </w:r>
      <w:r w:rsidR="003F4397" w:rsidRPr="00F86CFA">
        <w:rPr>
          <w:sz w:val="22"/>
          <w:szCs w:val="22"/>
        </w:rPr>
        <w:t xml:space="preserve">zwłaszcza zeznania </w:t>
      </w:r>
      <w:r w:rsidR="003A19EF" w:rsidRPr="00F86CFA">
        <w:rPr>
          <w:sz w:val="22"/>
          <w:szCs w:val="22"/>
        </w:rPr>
        <w:t>P</w:t>
      </w:r>
      <w:r w:rsidR="003F4397" w:rsidRPr="00F86CFA">
        <w:rPr>
          <w:sz w:val="22"/>
          <w:szCs w:val="22"/>
        </w:rPr>
        <w:t>ozwanej, w których relacjonuje</w:t>
      </w:r>
      <w:r w:rsidR="003A19EF" w:rsidRPr="00F86CFA">
        <w:rPr>
          <w:sz w:val="22"/>
          <w:szCs w:val="22"/>
        </w:rPr>
        <w:t xml:space="preserve"> świadomość</w:t>
      </w:r>
      <w:r w:rsidR="003F4397" w:rsidRPr="00F86CFA">
        <w:rPr>
          <w:sz w:val="22"/>
          <w:szCs w:val="22"/>
        </w:rPr>
        <w:t xml:space="preserve"> rzekom</w:t>
      </w:r>
      <w:r w:rsidR="003A19EF" w:rsidRPr="00F86CFA">
        <w:rPr>
          <w:sz w:val="22"/>
          <w:szCs w:val="22"/>
        </w:rPr>
        <w:t>ych</w:t>
      </w:r>
      <w:r w:rsidR="003F4397" w:rsidRPr="00F86CFA">
        <w:rPr>
          <w:sz w:val="22"/>
          <w:szCs w:val="22"/>
        </w:rPr>
        <w:t xml:space="preserve"> nieprawidłowości już w dniu podpisania umowy. Co więcej, nie można również stwierdzić istnienia po stronie </w:t>
      </w:r>
      <w:r w:rsidR="003A19EF" w:rsidRPr="00F86CFA">
        <w:rPr>
          <w:sz w:val="22"/>
          <w:szCs w:val="22"/>
        </w:rPr>
        <w:t>P</w:t>
      </w:r>
      <w:r w:rsidR="003F4397" w:rsidRPr="00F86CFA">
        <w:rPr>
          <w:sz w:val="22"/>
          <w:szCs w:val="22"/>
        </w:rPr>
        <w:t>ozwanej obiektywnych okoliczności, które uzasadniałyby tak długą zwłokę w uchylaniu się od skutków poręczenia.</w:t>
      </w:r>
    </w:p>
    <w:p w14:paraId="2BE38EF4" w14:textId="77777777" w:rsidR="00080949" w:rsidRPr="00F86CFA" w:rsidRDefault="00080949" w:rsidP="00210D36">
      <w:pPr>
        <w:ind w:left="0" w:firstLine="0"/>
        <w:rPr>
          <w:sz w:val="22"/>
          <w:szCs w:val="22"/>
        </w:rPr>
      </w:pPr>
    </w:p>
    <w:p w14:paraId="5FEE8EEE" w14:textId="5DEE1D85" w:rsidR="00034042" w:rsidRPr="00F86CFA" w:rsidRDefault="00034042" w:rsidP="00210D36">
      <w:pPr>
        <w:ind w:left="0" w:firstLine="0"/>
        <w:rPr>
          <w:sz w:val="22"/>
          <w:szCs w:val="22"/>
        </w:rPr>
      </w:pPr>
    </w:p>
    <w:p w14:paraId="12EF6816" w14:textId="20410699" w:rsidR="00034042" w:rsidRPr="00F86CFA" w:rsidRDefault="0040556A" w:rsidP="0043639E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F86CFA">
        <w:rPr>
          <w:rFonts w:ascii="Times New Roman" w:hAnsi="Times New Roman"/>
          <w:b/>
          <w:bCs/>
        </w:rPr>
        <w:t xml:space="preserve">Legitymacja </w:t>
      </w:r>
      <w:r w:rsidR="003A19EF" w:rsidRPr="00F86CFA">
        <w:rPr>
          <w:rFonts w:ascii="Times New Roman" w:hAnsi="Times New Roman"/>
          <w:b/>
          <w:bCs/>
        </w:rPr>
        <w:t>P</w:t>
      </w:r>
      <w:r w:rsidRPr="00F86CFA">
        <w:rPr>
          <w:rFonts w:ascii="Times New Roman" w:hAnsi="Times New Roman"/>
          <w:b/>
          <w:bCs/>
        </w:rPr>
        <w:t>owoda</w:t>
      </w:r>
    </w:p>
    <w:p w14:paraId="4A2CC14D" w14:textId="4A82FDE1" w:rsidR="00F47240" w:rsidRPr="00F86CFA" w:rsidRDefault="00F47240" w:rsidP="00F47240">
      <w:pPr>
        <w:rPr>
          <w:sz w:val="22"/>
          <w:szCs w:val="22"/>
        </w:rPr>
      </w:pPr>
    </w:p>
    <w:p w14:paraId="47C5A225" w14:textId="0B3BFC2E" w:rsidR="00F47240" w:rsidRPr="00F86CFA" w:rsidRDefault="00F47240" w:rsidP="00210D36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Wbrew ocenie dokonanej przez Sąd orzekający </w:t>
      </w:r>
      <w:r w:rsidRPr="00F86CFA">
        <w:rPr>
          <w:i/>
          <w:sz w:val="22"/>
          <w:szCs w:val="22"/>
        </w:rPr>
        <w:t xml:space="preserve">in </w:t>
      </w:r>
      <w:proofErr w:type="spellStart"/>
      <w:r w:rsidRPr="00F86CFA">
        <w:rPr>
          <w:i/>
          <w:sz w:val="22"/>
          <w:szCs w:val="22"/>
        </w:rPr>
        <w:t>meritii</w:t>
      </w:r>
      <w:proofErr w:type="spellEnd"/>
      <w:r w:rsidRPr="00F86CFA">
        <w:rPr>
          <w:sz w:val="22"/>
          <w:szCs w:val="22"/>
        </w:rPr>
        <w:t xml:space="preserve"> w I instancji należy stwierdzić, ż</w:t>
      </w:r>
      <w:r w:rsidR="004B4C0E" w:rsidRPr="00F86CFA">
        <w:rPr>
          <w:sz w:val="22"/>
          <w:szCs w:val="22"/>
        </w:rPr>
        <w:t>e</w:t>
      </w:r>
      <w:r w:rsidRPr="00F86CFA">
        <w:rPr>
          <w:sz w:val="22"/>
          <w:szCs w:val="22"/>
        </w:rPr>
        <w:t xml:space="preserve"> legitymacja </w:t>
      </w:r>
      <w:r w:rsidR="003A19EF" w:rsidRPr="00F86CFA">
        <w:rPr>
          <w:sz w:val="22"/>
          <w:szCs w:val="22"/>
        </w:rPr>
        <w:t>P</w:t>
      </w:r>
      <w:r w:rsidRPr="00F86CFA">
        <w:rPr>
          <w:sz w:val="22"/>
          <w:szCs w:val="22"/>
        </w:rPr>
        <w:t xml:space="preserve">owoda została wykazana w sposób bezsporny, o czym świadczy zgłoszenie dowodu z zawartej umowy </w:t>
      </w:r>
      <w:r w:rsidR="00D428FB" w:rsidRPr="00F86CFA">
        <w:rPr>
          <w:sz w:val="22"/>
          <w:szCs w:val="22"/>
        </w:rPr>
        <w:t>przelewu</w:t>
      </w:r>
      <w:r w:rsidRPr="00F86CFA">
        <w:rPr>
          <w:sz w:val="22"/>
          <w:szCs w:val="22"/>
        </w:rPr>
        <w:t xml:space="preserve"> </w:t>
      </w:r>
      <w:proofErr w:type="spellStart"/>
      <w:r w:rsidRPr="00F86CFA">
        <w:rPr>
          <w:sz w:val="22"/>
          <w:szCs w:val="22"/>
        </w:rPr>
        <w:t>fiducjarnego</w:t>
      </w:r>
      <w:proofErr w:type="spellEnd"/>
      <w:r w:rsidRPr="00F86CFA">
        <w:rPr>
          <w:sz w:val="22"/>
          <w:szCs w:val="22"/>
        </w:rPr>
        <w:t xml:space="preserve">. </w:t>
      </w:r>
    </w:p>
    <w:p w14:paraId="2876E81C" w14:textId="74B337DF" w:rsidR="00F47240" w:rsidRPr="00F86CFA" w:rsidRDefault="00F47240" w:rsidP="00210D36">
      <w:pPr>
        <w:ind w:left="0" w:firstLine="0"/>
        <w:rPr>
          <w:sz w:val="22"/>
          <w:szCs w:val="22"/>
        </w:rPr>
      </w:pPr>
    </w:p>
    <w:p w14:paraId="69618770" w14:textId="08EEEE9B" w:rsidR="00A95565" w:rsidRPr="00F86CFA" w:rsidRDefault="00F47240" w:rsidP="004B1856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Judykatura wskazuje, że cechą charakterystyczną, odróżniającą powier</w:t>
      </w:r>
      <w:r w:rsidR="00F86CFA">
        <w:rPr>
          <w:sz w:val="22"/>
          <w:szCs w:val="22"/>
        </w:rPr>
        <w:t>niczy przelew wierzytelności od </w:t>
      </w:r>
      <w:r w:rsidRPr="00F86CFA">
        <w:rPr>
          <w:sz w:val="22"/>
          <w:szCs w:val="22"/>
        </w:rPr>
        <w:t xml:space="preserve">zwykłej cesji pozostaje występowanie dwóch stosunków prawnych </w:t>
      </w:r>
      <w:r w:rsidR="004B1856" w:rsidRPr="00F86CFA">
        <w:rPr>
          <w:sz w:val="22"/>
          <w:szCs w:val="22"/>
        </w:rPr>
        <w:t>–</w:t>
      </w:r>
      <w:r w:rsidRPr="00F86CFA">
        <w:rPr>
          <w:sz w:val="22"/>
          <w:szCs w:val="22"/>
        </w:rPr>
        <w:t xml:space="preserve"> </w:t>
      </w:r>
      <w:r w:rsidR="004B1856" w:rsidRPr="00F86CFA">
        <w:rPr>
          <w:sz w:val="22"/>
          <w:szCs w:val="22"/>
        </w:rPr>
        <w:t xml:space="preserve">zewnętrznego, </w:t>
      </w:r>
      <w:r w:rsidR="00A95565" w:rsidRPr="00F86CFA">
        <w:rPr>
          <w:sz w:val="22"/>
          <w:szCs w:val="22"/>
        </w:rPr>
        <w:t>między dłużnikiem a nabywcą wierzytelności oraz wewnętrznego między nabywcą a zbywcą wierzytelności (</w:t>
      </w:r>
      <w:r w:rsidR="004B4C0E" w:rsidRPr="00F86CFA">
        <w:rPr>
          <w:sz w:val="22"/>
          <w:szCs w:val="22"/>
        </w:rPr>
        <w:t>w</w:t>
      </w:r>
      <w:r w:rsidR="00A95565" w:rsidRPr="00F86CFA">
        <w:rPr>
          <w:sz w:val="22"/>
          <w:szCs w:val="22"/>
        </w:rPr>
        <w:t xml:space="preserve">yrok Sądu Apelacyjnego w Warszawie z dnia 27 lipca 2017 r., VI </w:t>
      </w:r>
      <w:proofErr w:type="spellStart"/>
      <w:r w:rsidR="00A95565" w:rsidRPr="00F86CFA">
        <w:rPr>
          <w:sz w:val="22"/>
          <w:szCs w:val="22"/>
        </w:rPr>
        <w:t>ACa</w:t>
      </w:r>
      <w:proofErr w:type="spellEnd"/>
      <w:r w:rsidR="00A95565" w:rsidRPr="00F86CFA">
        <w:rPr>
          <w:sz w:val="22"/>
          <w:szCs w:val="22"/>
        </w:rPr>
        <w:t xml:space="preserve"> 534/16, LEX nr 2436623). </w:t>
      </w:r>
      <w:r w:rsidR="00F86CFA">
        <w:rPr>
          <w:sz w:val="22"/>
          <w:szCs w:val="22"/>
        </w:rPr>
        <w:t>W </w:t>
      </w:r>
      <w:r w:rsidR="004B1856" w:rsidRPr="00F86CFA">
        <w:rPr>
          <w:sz w:val="22"/>
          <w:szCs w:val="22"/>
        </w:rPr>
        <w:t xml:space="preserve">ramach drugiego ze wskazanych </w:t>
      </w:r>
      <w:r w:rsidR="00266B37" w:rsidRPr="00F86CFA">
        <w:rPr>
          <w:sz w:val="22"/>
          <w:szCs w:val="22"/>
        </w:rPr>
        <w:t xml:space="preserve">stosunków, </w:t>
      </w:r>
      <w:r w:rsidR="004B1856" w:rsidRPr="00F86CFA">
        <w:rPr>
          <w:sz w:val="22"/>
          <w:szCs w:val="22"/>
        </w:rPr>
        <w:t>cesjonariusz pozostaje zobowiązany do podejmowania działań mających na celu wyegzekwowanie wierzytelności oraz jest w tym zakresie związany wskazówkami zleceniodawcy</w:t>
      </w:r>
      <w:r w:rsidR="004B4C0E" w:rsidRPr="00F86CFA">
        <w:rPr>
          <w:sz w:val="22"/>
          <w:szCs w:val="22"/>
        </w:rPr>
        <w:t xml:space="preserve"> – </w:t>
      </w:r>
      <w:r w:rsidR="004B1856" w:rsidRPr="00F86CFA">
        <w:rPr>
          <w:sz w:val="22"/>
          <w:szCs w:val="22"/>
        </w:rPr>
        <w:t>cedenta (</w:t>
      </w:r>
      <w:r w:rsidR="004B4C0E" w:rsidRPr="00F86CFA">
        <w:rPr>
          <w:sz w:val="22"/>
          <w:szCs w:val="22"/>
        </w:rPr>
        <w:t>w</w:t>
      </w:r>
      <w:r w:rsidR="004B1856" w:rsidRPr="00F86CFA">
        <w:rPr>
          <w:sz w:val="22"/>
          <w:szCs w:val="22"/>
        </w:rPr>
        <w:t xml:space="preserve">yrok Sądu Okręgowego w Sieradzu z dnia </w:t>
      </w:r>
      <w:r w:rsidR="00F86CFA">
        <w:rPr>
          <w:sz w:val="22"/>
          <w:szCs w:val="22"/>
        </w:rPr>
        <w:t>24 maja 2016 </w:t>
      </w:r>
      <w:r w:rsidR="004B1856" w:rsidRPr="00F86CFA">
        <w:rPr>
          <w:sz w:val="22"/>
          <w:szCs w:val="22"/>
        </w:rPr>
        <w:t xml:space="preserve">roku, I C 62/15, </w:t>
      </w:r>
      <w:r w:rsidR="00E86DC1" w:rsidRPr="00F86CFA">
        <w:rPr>
          <w:sz w:val="22"/>
          <w:szCs w:val="22"/>
        </w:rPr>
        <w:t>POSP</w:t>
      </w:r>
      <w:r w:rsidR="004B1856" w:rsidRPr="00F86CFA">
        <w:rPr>
          <w:sz w:val="22"/>
          <w:szCs w:val="22"/>
        </w:rPr>
        <w:t>)</w:t>
      </w:r>
      <w:r w:rsidR="00E86DC1" w:rsidRPr="00F86CFA">
        <w:rPr>
          <w:sz w:val="22"/>
          <w:szCs w:val="22"/>
        </w:rPr>
        <w:t>.</w:t>
      </w:r>
      <w:r w:rsidR="004B1856" w:rsidRPr="00F86CFA">
        <w:rPr>
          <w:sz w:val="22"/>
          <w:szCs w:val="22"/>
        </w:rPr>
        <w:t xml:space="preserve"> </w:t>
      </w:r>
      <w:r w:rsidR="00E86DC1" w:rsidRPr="00F86CFA">
        <w:rPr>
          <w:sz w:val="22"/>
          <w:szCs w:val="22"/>
        </w:rPr>
        <w:t xml:space="preserve">Umocowanie </w:t>
      </w:r>
      <w:r w:rsidR="003A19EF" w:rsidRPr="00F86CFA">
        <w:rPr>
          <w:sz w:val="22"/>
          <w:szCs w:val="22"/>
        </w:rPr>
        <w:t>P</w:t>
      </w:r>
      <w:r w:rsidR="00E86DC1" w:rsidRPr="00F86CFA">
        <w:rPr>
          <w:sz w:val="22"/>
          <w:szCs w:val="22"/>
        </w:rPr>
        <w:t>owoda do dochodzenia wierzytelności w imieniu cedenta wynika więc z</w:t>
      </w:r>
      <w:r w:rsidR="00A95565" w:rsidRPr="00F86CFA">
        <w:rPr>
          <w:sz w:val="22"/>
          <w:szCs w:val="22"/>
        </w:rPr>
        <w:t xml:space="preserve"> samej istoty zawarcia </w:t>
      </w:r>
      <w:r w:rsidR="00E86DC1" w:rsidRPr="00F86CFA">
        <w:rPr>
          <w:sz w:val="22"/>
          <w:szCs w:val="22"/>
        </w:rPr>
        <w:t xml:space="preserve">umowy przelewu powierniczego, co </w:t>
      </w:r>
      <w:r w:rsidR="00A95565" w:rsidRPr="00F86CFA">
        <w:rPr>
          <w:sz w:val="22"/>
          <w:szCs w:val="22"/>
        </w:rPr>
        <w:t>potwierdzają postanowienia konkretnej umowy, zawartej przez strony.</w:t>
      </w:r>
    </w:p>
    <w:p w14:paraId="54DB06EF" w14:textId="77777777" w:rsidR="00A95565" w:rsidRPr="00F86CFA" w:rsidRDefault="00A95565" w:rsidP="00A95565">
      <w:pPr>
        <w:ind w:left="0" w:firstLine="0"/>
        <w:rPr>
          <w:sz w:val="22"/>
          <w:szCs w:val="22"/>
        </w:rPr>
      </w:pPr>
    </w:p>
    <w:p w14:paraId="1A736954" w14:textId="455662FB" w:rsidR="00F47240" w:rsidRPr="00F86CFA" w:rsidRDefault="00BE56BC" w:rsidP="00A95565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W</w:t>
      </w:r>
      <w:r w:rsidR="00A95565" w:rsidRPr="00F86CFA">
        <w:rPr>
          <w:sz w:val="22"/>
          <w:szCs w:val="22"/>
        </w:rPr>
        <w:t>skazać</w:t>
      </w:r>
      <w:r w:rsidRPr="00F86CFA">
        <w:rPr>
          <w:sz w:val="22"/>
          <w:szCs w:val="22"/>
        </w:rPr>
        <w:t xml:space="preserve"> należy</w:t>
      </w:r>
      <w:r w:rsidR="00A95565" w:rsidRPr="00F86CFA">
        <w:rPr>
          <w:sz w:val="22"/>
          <w:szCs w:val="22"/>
        </w:rPr>
        <w:t xml:space="preserve">, </w:t>
      </w:r>
      <w:r w:rsidR="004B4C0E" w:rsidRPr="00F86CFA">
        <w:rPr>
          <w:sz w:val="22"/>
          <w:szCs w:val="22"/>
        </w:rPr>
        <w:t>że</w:t>
      </w:r>
      <w:r w:rsidR="00A95565" w:rsidRPr="00F86CFA">
        <w:rPr>
          <w:sz w:val="22"/>
          <w:szCs w:val="22"/>
        </w:rPr>
        <w:t xml:space="preserve"> chybione pozostaje odwołanie się przez Sąd I</w:t>
      </w:r>
      <w:r w:rsidR="003A19EF" w:rsidRPr="00F86CFA">
        <w:rPr>
          <w:sz w:val="22"/>
          <w:szCs w:val="22"/>
        </w:rPr>
        <w:t> </w:t>
      </w:r>
      <w:r w:rsidR="00A95565" w:rsidRPr="00F86CFA">
        <w:rPr>
          <w:sz w:val="22"/>
          <w:szCs w:val="22"/>
        </w:rPr>
        <w:t>instanc</w:t>
      </w:r>
      <w:r w:rsidR="00F86CFA">
        <w:rPr>
          <w:sz w:val="22"/>
          <w:szCs w:val="22"/>
        </w:rPr>
        <w:t>ji do łączącej strony cesji (HB </w:t>
      </w:r>
      <w:r w:rsidR="00A95565" w:rsidRPr="00F86CFA">
        <w:rPr>
          <w:sz w:val="22"/>
          <w:szCs w:val="22"/>
        </w:rPr>
        <w:t xml:space="preserve">Bank GmbH oraz </w:t>
      </w:r>
      <w:r w:rsidR="003A19EF" w:rsidRPr="00F86CFA">
        <w:rPr>
          <w:sz w:val="22"/>
          <w:szCs w:val="22"/>
        </w:rPr>
        <w:t>P</w:t>
      </w:r>
      <w:r w:rsidR="00A95565" w:rsidRPr="00F86CFA">
        <w:rPr>
          <w:sz w:val="22"/>
          <w:szCs w:val="22"/>
        </w:rPr>
        <w:t xml:space="preserve">owoda) umowy o współpracy z dnia 5 kwietnia 2013 r., zgodnie z którą </w:t>
      </w:r>
      <w:r w:rsidR="003A19EF" w:rsidRPr="00F86CFA">
        <w:rPr>
          <w:sz w:val="22"/>
          <w:szCs w:val="22"/>
        </w:rPr>
        <w:t xml:space="preserve">Powód </w:t>
      </w:r>
      <w:r w:rsidR="00A95565" w:rsidRPr="00F86CFA">
        <w:rPr>
          <w:sz w:val="22"/>
          <w:szCs w:val="22"/>
        </w:rPr>
        <w:t>powini</w:t>
      </w:r>
      <w:r w:rsidR="003A19EF" w:rsidRPr="00F86CFA">
        <w:rPr>
          <w:sz w:val="22"/>
          <w:szCs w:val="22"/>
        </w:rPr>
        <w:t>en</w:t>
      </w:r>
      <w:r w:rsidR="00A95565" w:rsidRPr="00F86CFA">
        <w:rPr>
          <w:sz w:val="22"/>
          <w:szCs w:val="22"/>
        </w:rPr>
        <w:t xml:space="preserve"> każdorazowo dysponować pełnomocnictwem szczególnym w celu dochodzenia nieuregulowanych należności. W pierwszej kolejności należy wskazać, że niniejsze postanowienie stanowiło wewnętrzną regulację dotyczącą sposobu w jakim powinny być dochodzone nieuregulowane należności, nie może więc wpływać na zakres oraz skuteczność cesji. Po drugie, z</w:t>
      </w:r>
      <w:r w:rsidR="004B4C0E" w:rsidRPr="00F86CFA">
        <w:rPr>
          <w:sz w:val="22"/>
          <w:szCs w:val="22"/>
        </w:rPr>
        <w:t> </w:t>
      </w:r>
      <w:r w:rsidR="00A95565" w:rsidRPr="00F86CFA">
        <w:rPr>
          <w:sz w:val="22"/>
          <w:szCs w:val="22"/>
        </w:rPr>
        <w:t>treści zawartej umowy przelewu powierniczego jasno wynika, że</w:t>
      </w:r>
      <w:r w:rsidR="00662C64" w:rsidRPr="00F86CFA">
        <w:t xml:space="preserve"> </w:t>
      </w:r>
      <w:r w:rsidR="00662C64" w:rsidRPr="00F86CFA">
        <w:rPr>
          <w:sz w:val="22"/>
          <w:szCs w:val="22"/>
        </w:rPr>
        <w:t>na powodową spółkę przeniesiono wszystkie wierzytelności, jakie przysługiwały HB Bank wobec Nowak sp. z o.o., jak też prawa z nimi związane, do których należy zaliczyć także wierzytelność z umow</w:t>
      </w:r>
      <w:r w:rsidR="003A19EF" w:rsidRPr="00F86CFA">
        <w:rPr>
          <w:sz w:val="22"/>
          <w:szCs w:val="22"/>
        </w:rPr>
        <w:t>y poręczenia udzielonego przez P</w:t>
      </w:r>
      <w:r w:rsidR="00662C64" w:rsidRPr="00F86CFA">
        <w:rPr>
          <w:sz w:val="22"/>
          <w:szCs w:val="22"/>
        </w:rPr>
        <w:t>ozwaną</w:t>
      </w:r>
      <w:r w:rsidR="00A95565" w:rsidRPr="00F86CFA">
        <w:rPr>
          <w:sz w:val="22"/>
          <w:szCs w:val="22"/>
        </w:rPr>
        <w:t xml:space="preserve">. Bez dalszego znaczenia pozostają więc wszelkie postanowienia dotyczące sposobu postępowania z wierzytelnościami </w:t>
      </w:r>
      <w:r w:rsidR="00DC033E" w:rsidRPr="00F86CFA">
        <w:rPr>
          <w:sz w:val="22"/>
          <w:szCs w:val="22"/>
        </w:rPr>
        <w:t>w stanie, w którym przysługiwały one poprzedniemu wierzycielowi, tj. cedentowi – czyli przed zmianą poprzedniego modelu biznesowego, którego trwanie zakończyło zawarcie umowy cesji powierniczej</w:t>
      </w:r>
      <w:r w:rsidR="00702F99" w:rsidRPr="00F86CFA">
        <w:rPr>
          <w:sz w:val="22"/>
          <w:szCs w:val="22"/>
        </w:rPr>
        <w:t xml:space="preserve">. Powyższe uwagi skutkować muszą uznaniem, </w:t>
      </w:r>
      <w:r w:rsidR="004B4C0E" w:rsidRPr="00F86CFA">
        <w:rPr>
          <w:sz w:val="22"/>
          <w:szCs w:val="22"/>
        </w:rPr>
        <w:t xml:space="preserve">że </w:t>
      </w:r>
      <w:r w:rsidR="00702F99" w:rsidRPr="00F86CFA">
        <w:rPr>
          <w:sz w:val="22"/>
          <w:szCs w:val="22"/>
        </w:rPr>
        <w:t xml:space="preserve">legitymacja </w:t>
      </w:r>
      <w:r w:rsidR="003A19EF" w:rsidRPr="00F86CFA">
        <w:rPr>
          <w:sz w:val="22"/>
          <w:szCs w:val="22"/>
        </w:rPr>
        <w:t>P</w:t>
      </w:r>
      <w:r w:rsidR="00702F99" w:rsidRPr="00F86CFA">
        <w:rPr>
          <w:sz w:val="22"/>
          <w:szCs w:val="22"/>
        </w:rPr>
        <w:t>owoda wynikała z samego faktu zawarcia umowy przelewu powierniczego do inkasa</w:t>
      </w:r>
      <w:r w:rsidR="00D428FB" w:rsidRPr="00F86CFA">
        <w:rPr>
          <w:sz w:val="22"/>
          <w:szCs w:val="22"/>
        </w:rPr>
        <w:t xml:space="preserve"> w </w:t>
      </w:r>
      <w:r w:rsidR="00702F99" w:rsidRPr="00F86CFA">
        <w:rPr>
          <w:sz w:val="22"/>
          <w:szCs w:val="22"/>
        </w:rPr>
        <w:t>brzmieniu ustalonym przez strony.</w:t>
      </w:r>
    </w:p>
    <w:p w14:paraId="2882C135" w14:textId="77777777" w:rsidR="00662C64" w:rsidRPr="00F86CFA" w:rsidRDefault="00662C64" w:rsidP="00A95565">
      <w:pPr>
        <w:ind w:left="0" w:firstLine="0"/>
        <w:rPr>
          <w:sz w:val="22"/>
          <w:szCs w:val="22"/>
        </w:rPr>
      </w:pPr>
    </w:p>
    <w:p w14:paraId="3B3AD4C3" w14:textId="3A6598D4" w:rsidR="00662C64" w:rsidRPr="00F86CFA" w:rsidRDefault="00662C64" w:rsidP="00A95565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Dla oceny skutków umowy przelewu w pierwszej kolejności niezbędne jest wskazanie prawa właściwego,</w:t>
      </w:r>
      <w:r w:rsidR="00F5269B" w:rsidRPr="00F86CFA">
        <w:rPr>
          <w:sz w:val="22"/>
          <w:szCs w:val="22"/>
        </w:rPr>
        <w:t xml:space="preserve"> </w:t>
      </w:r>
      <w:r w:rsidR="003A19EF" w:rsidRPr="00F86CFA">
        <w:rPr>
          <w:sz w:val="22"/>
          <w:szCs w:val="22"/>
        </w:rPr>
        <w:t xml:space="preserve">któremu </w:t>
      </w:r>
      <w:r w:rsidR="00CB679A" w:rsidRPr="00F86CFA">
        <w:rPr>
          <w:sz w:val="22"/>
          <w:szCs w:val="22"/>
        </w:rPr>
        <w:t>podlega</w:t>
      </w:r>
      <w:r w:rsidR="003A19EF" w:rsidRPr="00F86CFA">
        <w:rPr>
          <w:sz w:val="22"/>
          <w:szCs w:val="22"/>
        </w:rPr>
        <w:t xml:space="preserve"> omawiana czynność</w:t>
      </w:r>
      <w:r w:rsidRPr="00F86CFA">
        <w:rPr>
          <w:sz w:val="22"/>
          <w:szCs w:val="22"/>
        </w:rPr>
        <w:t>. Zgodnie z art. 14 rozporządzenia Rzym I, do</w:t>
      </w:r>
      <w:r w:rsidR="004B4C0E" w:rsidRPr="00F86CFA">
        <w:rPr>
          <w:sz w:val="22"/>
          <w:szCs w:val="22"/>
        </w:rPr>
        <w:t> </w:t>
      </w:r>
      <w:r w:rsidRPr="00F86CFA">
        <w:rPr>
          <w:sz w:val="22"/>
          <w:szCs w:val="22"/>
        </w:rPr>
        <w:t>stosunku pomiędzy zbywcą a nabywcą przelewanej wierzytelności stosuje się prawo właściwe dla umowy przelewu. P</w:t>
      </w:r>
      <w:r w:rsidR="004B4C0E" w:rsidRPr="00F86CFA">
        <w:rPr>
          <w:sz w:val="22"/>
          <w:szCs w:val="22"/>
        </w:rPr>
        <w:t>unk</w:t>
      </w:r>
      <w:r w:rsidRPr="00F86CFA">
        <w:rPr>
          <w:sz w:val="22"/>
          <w:szCs w:val="22"/>
        </w:rPr>
        <w:t>t 38 motywów rozporządzenia Rzym I precyzuje, że statut ten właściwy jest także dla oceny skutków rozporządzających umowy: „</w:t>
      </w:r>
      <w:r w:rsidR="004B4C0E" w:rsidRPr="00F86CFA">
        <w:rPr>
          <w:sz w:val="22"/>
          <w:szCs w:val="22"/>
        </w:rPr>
        <w:t>[w]</w:t>
      </w:r>
      <w:r w:rsidRPr="00F86CFA">
        <w:rPr>
          <w:sz w:val="22"/>
          <w:szCs w:val="22"/>
        </w:rPr>
        <w:t xml:space="preserve"> kontekście przelewu wierzytelności termin </w:t>
      </w:r>
      <w:r w:rsidRPr="00F86CFA">
        <w:rPr>
          <w:sz w:val="22"/>
          <w:szCs w:val="22"/>
        </w:rPr>
        <w:lastRenderedPageBreak/>
        <w:t>"stosunek" powinien jasno wyrażać, że art. 14 ust. 1 ma także zastosowanie do skutków rozporządzających przelewu wierzytelności pomiędzy zbywcą a nabywcą, w tych porządkach prawnych, w których skutki takie są rozpatrywane odrębnie od skutków obligacyjnych</w:t>
      </w:r>
      <w:r w:rsidR="004B4C0E" w:rsidRPr="00F86CFA">
        <w:rPr>
          <w:sz w:val="22"/>
          <w:szCs w:val="22"/>
        </w:rPr>
        <w:t>”</w:t>
      </w:r>
      <w:r w:rsidRPr="00F86CFA">
        <w:rPr>
          <w:sz w:val="22"/>
          <w:szCs w:val="22"/>
        </w:rPr>
        <w:t xml:space="preserve">. Prawo właściwe dla umowy przelewu stanowi więc podstawę dla </w:t>
      </w:r>
      <w:proofErr w:type="gramStart"/>
      <w:r w:rsidRPr="00F86CFA">
        <w:rPr>
          <w:sz w:val="22"/>
          <w:szCs w:val="22"/>
        </w:rPr>
        <w:t>oceny,</w:t>
      </w:r>
      <w:proofErr w:type="gramEnd"/>
      <w:r w:rsidRPr="00F86CFA">
        <w:rPr>
          <w:sz w:val="22"/>
          <w:szCs w:val="22"/>
        </w:rPr>
        <w:t xml:space="preserve"> czy wierzytelność </w:t>
      </w:r>
      <w:r w:rsidR="00F01E93" w:rsidRPr="00F86CFA">
        <w:rPr>
          <w:sz w:val="22"/>
          <w:szCs w:val="22"/>
        </w:rPr>
        <w:t xml:space="preserve">wobec </w:t>
      </w:r>
      <w:r w:rsidR="004B4C0E" w:rsidRPr="00F86CFA">
        <w:rPr>
          <w:sz w:val="22"/>
          <w:szCs w:val="22"/>
        </w:rPr>
        <w:t>P</w:t>
      </w:r>
      <w:r w:rsidRPr="00F86CFA">
        <w:rPr>
          <w:sz w:val="22"/>
          <w:szCs w:val="22"/>
        </w:rPr>
        <w:t xml:space="preserve">ozwanej była </w:t>
      </w:r>
      <w:r w:rsidR="00F01E93" w:rsidRPr="00F86CFA">
        <w:rPr>
          <w:sz w:val="22"/>
          <w:szCs w:val="22"/>
        </w:rPr>
        <w:t>objęta umową</w:t>
      </w:r>
      <w:r w:rsidRPr="00F86CFA">
        <w:rPr>
          <w:sz w:val="22"/>
          <w:szCs w:val="22"/>
        </w:rPr>
        <w:t xml:space="preserve"> przelewu i czy doszło do zmiany podmiotowej po stronie wierzyciela.</w:t>
      </w:r>
    </w:p>
    <w:p w14:paraId="413C2911" w14:textId="77777777" w:rsidR="00790D98" w:rsidRPr="00F86CFA" w:rsidRDefault="00790D98" w:rsidP="00A95565">
      <w:pPr>
        <w:ind w:left="0" w:firstLine="0"/>
        <w:rPr>
          <w:sz w:val="22"/>
          <w:szCs w:val="22"/>
        </w:rPr>
      </w:pPr>
    </w:p>
    <w:p w14:paraId="7B2A795C" w14:textId="4D3D1BBE" w:rsidR="003427BB" w:rsidRPr="00F86CFA" w:rsidRDefault="00790D98" w:rsidP="00A95565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Przedmiotowa umowa przelewu podlega prawu wybranemu przez jej strony, w rozumieniu art. 3 ust. 1 rozporządzenia Rzym I. </w:t>
      </w:r>
      <w:r w:rsidR="008B2D15" w:rsidRPr="00F86CFA">
        <w:rPr>
          <w:sz w:val="22"/>
          <w:szCs w:val="22"/>
        </w:rPr>
        <w:t>Przemawia za tym brzmienie</w:t>
      </w:r>
      <w:r w:rsidRPr="00F86CFA">
        <w:rPr>
          <w:sz w:val="22"/>
          <w:szCs w:val="22"/>
        </w:rPr>
        <w:t xml:space="preserve"> jej § 7 ust. 1 stanowiącego, że w sprawach </w:t>
      </w:r>
      <w:r w:rsidR="00712A43" w:rsidRPr="00F86CFA">
        <w:rPr>
          <w:sz w:val="22"/>
          <w:szCs w:val="22"/>
        </w:rPr>
        <w:t>w</w:t>
      </w:r>
      <w:r w:rsidR="004B4C0E" w:rsidRPr="00F86CFA">
        <w:rPr>
          <w:sz w:val="22"/>
          <w:szCs w:val="22"/>
        </w:rPr>
        <w:t> </w:t>
      </w:r>
      <w:r w:rsidR="00712A43" w:rsidRPr="00F86CFA">
        <w:rPr>
          <w:sz w:val="22"/>
          <w:szCs w:val="22"/>
        </w:rPr>
        <w:t xml:space="preserve">umowie </w:t>
      </w:r>
      <w:r w:rsidRPr="00F86CFA">
        <w:rPr>
          <w:sz w:val="22"/>
          <w:szCs w:val="22"/>
        </w:rPr>
        <w:t xml:space="preserve">nieuregulowanych zastosowanie będą mieć „w szczególności przepisy polskiego Kodeksu cywilnego”. </w:t>
      </w:r>
      <w:r w:rsidR="008B2D15" w:rsidRPr="00F86CFA">
        <w:rPr>
          <w:sz w:val="22"/>
          <w:szCs w:val="22"/>
        </w:rPr>
        <w:t>Tak sformułowane postanowienia</w:t>
      </w:r>
      <w:r w:rsidRPr="00F86CFA">
        <w:rPr>
          <w:sz w:val="22"/>
          <w:szCs w:val="22"/>
        </w:rPr>
        <w:t xml:space="preserve"> są określ</w:t>
      </w:r>
      <w:r w:rsidR="00F86CFA">
        <w:rPr>
          <w:sz w:val="22"/>
          <w:szCs w:val="22"/>
        </w:rPr>
        <w:t>ane w doktrynie mianem „klauzul </w:t>
      </w:r>
      <w:r w:rsidRPr="00F86CFA">
        <w:rPr>
          <w:sz w:val="22"/>
          <w:szCs w:val="22"/>
        </w:rPr>
        <w:t>wieloznacznych”</w:t>
      </w:r>
      <w:r w:rsidR="003F7358" w:rsidRPr="00F86CFA">
        <w:rPr>
          <w:sz w:val="22"/>
          <w:szCs w:val="22"/>
        </w:rPr>
        <w:t xml:space="preserve"> (M. Pazdan [w:] M. Pazdan (red.), </w:t>
      </w:r>
      <w:r w:rsidR="003F7358" w:rsidRPr="00F86CFA">
        <w:rPr>
          <w:i/>
          <w:sz w:val="22"/>
          <w:szCs w:val="22"/>
        </w:rPr>
        <w:t>System Prawa Prywatnego. Prawo Prywatne Międzynarodowe, t. 20B</w:t>
      </w:r>
      <w:r w:rsidR="003F7358" w:rsidRPr="00F86CFA">
        <w:rPr>
          <w:sz w:val="22"/>
          <w:szCs w:val="22"/>
        </w:rPr>
        <w:t xml:space="preserve">, 2015, </w:t>
      </w:r>
      <w:proofErr w:type="spellStart"/>
      <w:r w:rsidR="003F7358" w:rsidRPr="00F86CFA">
        <w:rPr>
          <w:sz w:val="22"/>
          <w:szCs w:val="22"/>
        </w:rPr>
        <w:t>nb</w:t>
      </w:r>
      <w:proofErr w:type="spellEnd"/>
      <w:r w:rsidR="003F7358" w:rsidRPr="00F86CFA">
        <w:rPr>
          <w:sz w:val="22"/>
          <w:szCs w:val="22"/>
        </w:rPr>
        <w:t xml:space="preserve"> 146, </w:t>
      </w:r>
      <w:proofErr w:type="spellStart"/>
      <w:r w:rsidR="003F7358" w:rsidRPr="00F86CFA">
        <w:rPr>
          <w:sz w:val="22"/>
          <w:szCs w:val="22"/>
        </w:rPr>
        <w:t>Legalis</w:t>
      </w:r>
      <w:proofErr w:type="spellEnd"/>
      <w:r w:rsidR="003F7358" w:rsidRPr="00F86CFA">
        <w:rPr>
          <w:sz w:val="22"/>
          <w:szCs w:val="22"/>
        </w:rPr>
        <w:t>)</w:t>
      </w:r>
      <w:r w:rsidRPr="00F86CFA">
        <w:rPr>
          <w:sz w:val="22"/>
          <w:szCs w:val="22"/>
        </w:rPr>
        <w:t xml:space="preserve">. Mogą być </w:t>
      </w:r>
      <w:r w:rsidR="007629E8" w:rsidRPr="00F86CFA">
        <w:rPr>
          <w:sz w:val="22"/>
          <w:szCs w:val="22"/>
        </w:rPr>
        <w:t xml:space="preserve">one </w:t>
      </w:r>
      <w:r w:rsidRPr="00F86CFA">
        <w:rPr>
          <w:sz w:val="22"/>
          <w:szCs w:val="22"/>
        </w:rPr>
        <w:t xml:space="preserve">interpretowane jako </w:t>
      </w:r>
      <w:r w:rsidR="007629E8" w:rsidRPr="00F86CFA">
        <w:rPr>
          <w:sz w:val="22"/>
          <w:szCs w:val="22"/>
        </w:rPr>
        <w:t>wyraz dorozumianego pełnego</w:t>
      </w:r>
      <w:r w:rsidR="00C971CA" w:rsidRPr="00F86CFA">
        <w:rPr>
          <w:sz w:val="22"/>
          <w:szCs w:val="22"/>
        </w:rPr>
        <w:t xml:space="preserve"> </w:t>
      </w:r>
      <w:r w:rsidR="007629E8" w:rsidRPr="00F86CFA">
        <w:rPr>
          <w:sz w:val="22"/>
          <w:szCs w:val="22"/>
        </w:rPr>
        <w:t>wyboru</w:t>
      </w:r>
      <w:r w:rsidR="00C971CA" w:rsidRPr="00F86CFA">
        <w:rPr>
          <w:sz w:val="22"/>
          <w:szCs w:val="22"/>
        </w:rPr>
        <w:t xml:space="preserve"> prawa, </w:t>
      </w:r>
      <w:r w:rsidR="00D428FB" w:rsidRPr="00F86CFA">
        <w:rPr>
          <w:sz w:val="22"/>
          <w:szCs w:val="22"/>
        </w:rPr>
        <w:t>częś</w:t>
      </w:r>
      <w:r w:rsidR="007629E8" w:rsidRPr="00F86CFA">
        <w:rPr>
          <w:sz w:val="22"/>
          <w:szCs w:val="22"/>
        </w:rPr>
        <w:t>ciowy wybór prawa</w:t>
      </w:r>
      <w:r w:rsidR="00C971CA" w:rsidRPr="00F86CFA">
        <w:rPr>
          <w:sz w:val="22"/>
          <w:szCs w:val="22"/>
        </w:rPr>
        <w:t xml:space="preserve"> lub też jedynie jako materialnoprawne wskazanie</w:t>
      </w:r>
      <w:r w:rsidR="007629E8" w:rsidRPr="00F86CFA">
        <w:rPr>
          <w:sz w:val="22"/>
          <w:szCs w:val="22"/>
        </w:rPr>
        <w:t xml:space="preserve"> </w:t>
      </w:r>
      <w:r w:rsidR="00712A43" w:rsidRPr="00F86CFA">
        <w:rPr>
          <w:sz w:val="22"/>
          <w:szCs w:val="22"/>
        </w:rPr>
        <w:t>przepisów regulujących stosunek umowny</w:t>
      </w:r>
      <w:r w:rsidR="007629E8" w:rsidRPr="00F86CFA">
        <w:rPr>
          <w:sz w:val="22"/>
          <w:szCs w:val="22"/>
        </w:rPr>
        <w:t>.</w:t>
      </w:r>
      <w:r w:rsidR="008B2D15" w:rsidRPr="00F86CFA">
        <w:rPr>
          <w:sz w:val="22"/>
          <w:szCs w:val="22"/>
        </w:rPr>
        <w:t xml:space="preserve"> Konstrukcja przedmiotowego postanowienia, w kontekście całokształtu postanowień umowy oraz okoliczności jej zawarcia, każe jednak uznać, </w:t>
      </w:r>
      <w:r w:rsidR="00542764" w:rsidRPr="00F86CFA">
        <w:rPr>
          <w:sz w:val="22"/>
          <w:szCs w:val="22"/>
        </w:rPr>
        <w:t>ż</w:t>
      </w:r>
      <w:r w:rsidR="004B4C0E" w:rsidRPr="00F86CFA">
        <w:rPr>
          <w:sz w:val="22"/>
          <w:szCs w:val="22"/>
        </w:rPr>
        <w:t>e</w:t>
      </w:r>
      <w:r w:rsidR="00542764" w:rsidRPr="00F86CFA">
        <w:rPr>
          <w:sz w:val="22"/>
          <w:szCs w:val="22"/>
        </w:rPr>
        <w:t xml:space="preserve"> jej strony w sposób dorozumiany dokonały pełnego, </w:t>
      </w:r>
      <w:proofErr w:type="spellStart"/>
      <w:r w:rsidR="00542764" w:rsidRPr="00F86CFA">
        <w:rPr>
          <w:sz w:val="22"/>
          <w:szCs w:val="22"/>
        </w:rPr>
        <w:t>kolizyjnoprawnego</w:t>
      </w:r>
      <w:proofErr w:type="spellEnd"/>
      <w:r w:rsidR="00542764" w:rsidRPr="00F86CFA">
        <w:rPr>
          <w:sz w:val="22"/>
          <w:szCs w:val="22"/>
        </w:rPr>
        <w:t xml:space="preserve"> wyboru prawa polskiego.</w:t>
      </w:r>
    </w:p>
    <w:p w14:paraId="4391FB63" w14:textId="77777777" w:rsidR="003427BB" w:rsidRPr="00F86CFA" w:rsidRDefault="003427BB" w:rsidP="00A95565">
      <w:pPr>
        <w:ind w:left="0" w:firstLine="0"/>
        <w:rPr>
          <w:sz w:val="22"/>
          <w:szCs w:val="22"/>
        </w:rPr>
      </w:pPr>
    </w:p>
    <w:p w14:paraId="5DEF1A32" w14:textId="4E6E55CE" w:rsidR="006E56DE" w:rsidRPr="00F86CFA" w:rsidRDefault="00542764" w:rsidP="00A95565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Za taką konstatacją przemawia, po pierwsze, fakt wskazania w postanowieniu</w:t>
      </w:r>
      <w:r w:rsidR="003427BB" w:rsidRPr="00F86CFA">
        <w:rPr>
          <w:sz w:val="22"/>
          <w:szCs w:val="22"/>
        </w:rPr>
        <w:t xml:space="preserve"> umownym</w:t>
      </w:r>
      <w:r w:rsidRPr="00F86CFA">
        <w:rPr>
          <w:sz w:val="22"/>
          <w:szCs w:val="22"/>
        </w:rPr>
        <w:t xml:space="preserve"> ustawy polskiej. </w:t>
      </w:r>
      <w:r w:rsidR="003427BB" w:rsidRPr="00F86CFA">
        <w:rPr>
          <w:sz w:val="22"/>
          <w:szCs w:val="22"/>
        </w:rPr>
        <w:t>Jak wskazuje się doktrynie „d</w:t>
      </w:r>
      <w:r w:rsidRPr="00F86CFA">
        <w:rPr>
          <w:sz w:val="22"/>
          <w:szCs w:val="22"/>
        </w:rPr>
        <w:t>o okoliczności, z których może wynikać dorozumiana wola stron, zalicza się zwykle m.in. powołanie się przez strony w umowie na konkretny przepis określonego systemu prawnego”</w:t>
      </w:r>
      <w:r w:rsidR="003F7358" w:rsidRPr="00F86CFA">
        <w:rPr>
          <w:sz w:val="22"/>
          <w:szCs w:val="22"/>
        </w:rPr>
        <w:t xml:space="preserve"> (M. Pazdan [w:] M. Pazdan (red.), </w:t>
      </w:r>
      <w:r w:rsidR="003F7358" w:rsidRPr="00F86CFA">
        <w:rPr>
          <w:i/>
          <w:sz w:val="22"/>
          <w:szCs w:val="22"/>
        </w:rPr>
        <w:t>Rozporządz</w:t>
      </w:r>
      <w:r w:rsidR="00F86CFA">
        <w:rPr>
          <w:i/>
          <w:sz w:val="22"/>
          <w:szCs w:val="22"/>
        </w:rPr>
        <w:t>enie Parlamentu Europejskiego i </w:t>
      </w:r>
      <w:r w:rsidR="003F7358" w:rsidRPr="00F86CFA">
        <w:rPr>
          <w:i/>
          <w:sz w:val="22"/>
          <w:szCs w:val="22"/>
        </w:rPr>
        <w:t>Rady (WE) Nr 593/2008 w sprawie prawa właściwego dla zobowiązań umownych (Rzym I)</w:t>
      </w:r>
      <w:r w:rsidR="003F7358" w:rsidRPr="00F86CFA">
        <w:rPr>
          <w:sz w:val="22"/>
          <w:szCs w:val="22"/>
        </w:rPr>
        <w:t xml:space="preserve">. Komentarz, 2018, art. 3, </w:t>
      </w:r>
      <w:proofErr w:type="spellStart"/>
      <w:r w:rsidR="003F7358" w:rsidRPr="00F86CFA">
        <w:rPr>
          <w:sz w:val="22"/>
          <w:szCs w:val="22"/>
        </w:rPr>
        <w:t>nb</w:t>
      </w:r>
      <w:proofErr w:type="spellEnd"/>
      <w:r w:rsidR="003F7358" w:rsidRPr="00F86CFA">
        <w:rPr>
          <w:sz w:val="22"/>
          <w:szCs w:val="22"/>
        </w:rPr>
        <w:t xml:space="preserve"> 34, </w:t>
      </w:r>
      <w:proofErr w:type="spellStart"/>
      <w:r w:rsidR="003F7358" w:rsidRPr="00F86CFA">
        <w:rPr>
          <w:sz w:val="22"/>
          <w:szCs w:val="22"/>
        </w:rPr>
        <w:t>Legalis</w:t>
      </w:r>
      <w:proofErr w:type="spellEnd"/>
      <w:r w:rsidR="003F7358" w:rsidRPr="00F86CFA">
        <w:rPr>
          <w:sz w:val="22"/>
          <w:szCs w:val="22"/>
        </w:rPr>
        <w:t>)</w:t>
      </w:r>
      <w:r w:rsidR="004B4C0E" w:rsidRPr="00F86CFA">
        <w:rPr>
          <w:sz w:val="22"/>
          <w:szCs w:val="22"/>
        </w:rPr>
        <w:t>.</w:t>
      </w:r>
      <w:r w:rsidR="003F7358" w:rsidRPr="00F86CFA">
        <w:rPr>
          <w:sz w:val="22"/>
          <w:szCs w:val="22"/>
        </w:rPr>
        <w:t xml:space="preserve"> </w:t>
      </w:r>
      <w:r w:rsidRPr="00F86CFA">
        <w:rPr>
          <w:sz w:val="22"/>
          <w:szCs w:val="22"/>
        </w:rPr>
        <w:t xml:space="preserve">Po drugie, przedmiotowe postanowienie nie wskazuje konkretnych przepisów ustawy </w:t>
      </w:r>
      <w:r w:rsidR="00712A43" w:rsidRPr="00F86CFA">
        <w:rPr>
          <w:sz w:val="22"/>
          <w:szCs w:val="22"/>
        </w:rPr>
        <w:t>polskiej</w:t>
      </w:r>
      <w:r w:rsidRPr="00F86CFA">
        <w:rPr>
          <w:sz w:val="22"/>
          <w:szCs w:val="22"/>
        </w:rPr>
        <w:t xml:space="preserve">, lecz nakazuje stosować ją w całości. </w:t>
      </w:r>
      <w:r w:rsidR="001859C1" w:rsidRPr="00F86CFA">
        <w:rPr>
          <w:sz w:val="22"/>
          <w:szCs w:val="22"/>
        </w:rPr>
        <w:t xml:space="preserve">Po trzecie, postanowienie umowne </w:t>
      </w:r>
      <w:r w:rsidR="0058118D" w:rsidRPr="00F86CFA">
        <w:rPr>
          <w:sz w:val="22"/>
          <w:szCs w:val="22"/>
        </w:rPr>
        <w:t>określa</w:t>
      </w:r>
      <w:r w:rsidR="001859C1" w:rsidRPr="00F86CFA">
        <w:rPr>
          <w:sz w:val="22"/>
          <w:szCs w:val="22"/>
        </w:rPr>
        <w:t xml:space="preserve">, że </w:t>
      </w:r>
      <w:r w:rsidR="003427BB" w:rsidRPr="00F86CFA">
        <w:rPr>
          <w:sz w:val="22"/>
          <w:szCs w:val="22"/>
        </w:rPr>
        <w:t xml:space="preserve">przepisy polskiego Kodeksu cywilnego należy </w:t>
      </w:r>
      <w:r w:rsidR="00D428FB" w:rsidRPr="00F86CFA">
        <w:rPr>
          <w:sz w:val="22"/>
          <w:szCs w:val="22"/>
        </w:rPr>
        <w:t>stosować „w </w:t>
      </w:r>
      <w:r w:rsidR="001859C1" w:rsidRPr="00F86CFA">
        <w:rPr>
          <w:sz w:val="22"/>
          <w:szCs w:val="22"/>
        </w:rPr>
        <w:t>szczególności”</w:t>
      </w:r>
      <w:r w:rsidR="003427BB" w:rsidRPr="00F86CFA">
        <w:rPr>
          <w:sz w:val="22"/>
          <w:szCs w:val="22"/>
        </w:rPr>
        <w:t>. Wyrażenie „w </w:t>
      </w:r>
      <w:r w:rsidR="001859C1" w:rsidRPr="00F86CFA">
        <w:rPr>
          <w:sz w:val="22"/>
          <w:szCs w:val="22"/>
        </w:rPr>
        <w:t>szczególności” jest synonimem takich pojęć jak „zwłaszcza”, „na przykład”, „w tym także”. Wynika z niego, że zastosowanie do umowy znajdzie wskazana us</w:t>
      </w:r>
      <w:r w:rsidR="003427BB" w:rsidRPr="00F86CFA">
        <w:rPr>
          <w:sz w:val="22"/>
          <w:szCs w:val="22"/>
        </w:rPr>
        <w:t xml:space="preserve">tawa, lecz </w:t>
      </w:r>
      <w:proofErr w:type="gramStart"/>
      <w:r w:rsidR="003427BB" w:rsidRPr="00F86CFA">
        <w:rPr>
          <w:sz w:val="22"/>
          <w:szCs w:val="22"/>
        </w:rPr>
        <w:t>nie wyłącznie</w:t>
      </w:r>
      <w:proofErr w:type="gramEnd"/>
      <w:r w:rsidR="003427BB" w:rsidRPr="00F86CFA">
        <w:rPr>
          <w:sz w:val="22"/>
          <w:szCs w:val="22"/>
        </w:rPr>
        <w:t xml:space="preserve"> ona. W </w:t>
      </w:r>
      <w:r w:rsidR="001859C1" w:rsidRPr="00F86CFA">
        <w:rPr>
          <w:sz w:val="22"/>
          <w:szCs w:val="22"/>
        </w:rPr>
        <w:t xml:space="preserve">kwestiach nieuregulowanych w umowie zastosowanie mogą więc znaleźć przepisy innych ustaw, nie </w:t>
      </w:r>
      <w:r w:rsidR="00B5029A" w:rsidRPr="00F86CFA">
        <w:rPr>
          <w:sz w:val="22"/>
          <w:szCs w:val="22"/>
        </w:rPr>
        <w:t>wymienionych</w:t>
      </w:r>
      <w:r w:rsidR="001859C1" w:rsidRPr="00F86CFA">
        <w:rPr>
          <w:sz w:val="22"/>
          <w:szCs w:val="22"/>
        </w:rPr>
        <w:t xml:space="preserve"> wprost. Biorąc pod uwagę lakoniczność tego </w:t>
      </w:r>
      <w:r w:rsidR="004F152D" w:rsidRPr="00F86CFA">
        <w:rPr>
          <w:sz w:val="22"/>
          <w:szCs w:val="22"/>
        </w:rPr>
        <w:t>sformułowania</w:t>
      </w:r>
      <w:r w:rsidR="001859C1" w:rsidRPr="00F86CFA">
        <w:rPr>
          <w:sz w:val="22"/>
          <w:szCs w:val="22"/>
        </w:rPr>
        <w:t xml:space="preserve">, jak też </w:t>
      </w:r>
      <w:r w:rsidR="004F152D" w:rsidRPr="00F86CFA">
        <w:rPr>
          <w:sz w:val="22"/>
          <w:szCs w:val="22"/>
        </w:rPr>
        <w:t xml:space="preserve">jego </w:t>
      </w:r>
      <w:r w:rsidR="001859C1" w:rsidRPr="00F86CFA">
        <w:rPr>
          <w:sz w:val="22"/>
          <w:szCs w:val="22"/>
        </w:rPr>
        <w:t xml:space="preserve">szeroki zakres, </w:t>
      </w:r>
      <w:r w:rsidR="007423D7" w:rsidRPr="00F86CFA">
        <w:rPr>
          <w:sz w:val="22"/>
          <w:szCs w:val="22"/>
        </w:rPr>
        <w:t>najbardziej racjonalną wykładnią</w:t>
      </w:r>
      <w:r w:rsidR="001859C1" w:rsidRPr="00F86CFA">
        <w:rPr>
          <w:sz w:val="22"/>
          <w:szCs w:val="22"/>
        </w:rPr>
        <w:t xml:space="preserve"> </w:t>
      </w:r>
      <w:r w:rsidR="007423D7" w:rsidRPr="00F86CFA">
        <w:rPr>
          <w:sz w:val="22"/>
          <w:szCs w:val="22"/>
        </w:rPr>
        <w:t>będzie uznanie</w:t>
      </w:r>
      <w:r w:rsidR="001859C1" w:rsidRPr="00F86CFA">
        <w:rPr>
          <w:sz w:val="22"/>
          <w:szCs w:val="22"/>
        </w:rPr>
        <w:t xml:space="preserve">, że przez </w:t>
      </w:r>
      <w:r w:rsidR="007423D7" w:rsidRPr="00F86CFA">
        <w:rPr>
          <w:sz w:val="22"/>
          <w:szCs w:val="22"/>
        </w:rPr>
        <w:t>„</w:t>
      </w:r>
      <w:r w:rsidR="001859C1" w:rsidRPr="00F86CFA">
        <w:rPr>
          <w:sz w:val="22"/>
          <w:szCs w:val="22"/>
        </w:rPr>
        <w:t>inne przepisy</w:t>
      </w:r>
      <w:r w:rsidR="007423D7" w:rsidRPr="00F86CFA">
        <w:rPr>
          <w:sz w:val="22"/>
          <w:szCs w:val="22"/>
        </w:rPr>
        <w:t>”</w:t>
      </w:r>
      <w:r w:rsidR="001859C1" w:rsidRPr="00F86CFA">
        <w:rPr>
          <w:sz w:val="22"/>
          <w:szCs w:val="22"/>
        </w:rPr>
        <w:t xml:space="preserve"> należy rozumieć całokształt systemu prawa państwa polskiego.</w:t>
      </w:r>
      <w:r w:rsidR="004F152D" w:rsidRPr="00F86CFA">
        <w:rPr>
          <w:sz w:val="22"/>
          <w:szCs w:val="22"/>
        </w:rPr>
        <w:t xml:space="preserve"> Omawiane okoliczności wykluczają więc uznanie przedmiotowego postanowienia za wskazanie materialnoprawne. Po czwarte, strony wskazały, że </w:t>
      </w:r>
      <w:r w:rsidR="0017082B" w:rsidRPr="00F86CFA">
        <w:rPr>
          <w:sz w:val="22"/>
          <w:szCs w:val="22"/>
        </w:rPr>
        <w:t>prawo polskie bę</w:t>
      </w:r>
      <w:r w:rsidR="00D428FB" w:rsidRPr="00F86CFA">
        <w:rPr>
          <w:sz w:val="22"/>
          <w:szCs w:val="22"/>
        </w:rPr>
        <w:t>dzie mieć zastosowanie „w </w:t>
      </w:r>
      <w:r w:rsidR="0017082B" w:rsidRPr="00F86CFA">
        <w:rPr>
          <w:sz w:val="22"/>
          <w:szCs w:val="22"/>
        </w:rPr>
        <w:t>kwestiach w umowie nieuregulowanych”. Sformu</w:t>
      </w:r>
      <w:r w:rsidR="007C5540" w:rsidRPr="00F86CFA">
        <w:rPr>
          <w:sz w:val="22"/>
          <w:szCs w:val="22"/>
        </w:rPr>
        <w:t xml:space="preserve">łowanie to ma charakter bardzo ogólny, </w:t>
      </w:r>
      <w:r w:rsidR="0017082B" w:rsidRPr="00F86CFA">
        <w:rPr>
          <w:sz w:val="22"/>
          <w:szCs w:val="22"/>
        </w:rPr>
        <w:t xml:space="preserve">nie wymienia </w:t>
      </w:r>
      <w:r w:rsidR="005340BB" w:rsidRPr="00F86CFA">
        <w:rPr>
          <w:sz w:val="22"/>
          <w:szCs w:val="22"/>
        </w:rPr>
        <w:t>konkretnych</w:t>
      </w:r>
      <w:r w:rsidR="007C5540" w:rsidRPr="00F86CFA">
        <w:rPr>
          <w:sz w:val="22"/>
          <w:szCs w:val="22"/>
        </w:rPr>
        <w:t xml:space="preserve"> elementów umowy, które </w:t>
      </w:r>
      <w:r w:rsidR="005340BB" w:rsidRPr="00F86CFA">
        <w:rPr>
          <w:sz w:val="22"/>
          <w:szCs w:val="22"/>
        </w:rPr>
        <w:t>miałyby</w:t>
      </w:r>
      <w:r w:rsidR="007C5540" w:rsidRPr="00F86CFA">
        <w:rPr>
          <w:sz w:val="22"/>
          <w:szCs w:val="22"/>
        </w:rPr>
        <w:t xml:space="preserve"> zostać poddane</w:t>
      </w:r>
      <w:r w:rsidR="005340BB" w:rsidRPr="00F86CFA">
        <w:rPr>
          <w:sz w:val="22"/>
          <w:szCs w:val="22"/>
        </w:rPr>
        <w:t xml:space="preserve"> </w:t>
      </w:r>
      <w:r w:rsidR="007423D7" w:rsidRPr="00F86CFA">
        <w:rPr>
          <w:sz w:val="22"/>
          <w:szCs w:val="22"/>
        </w:rPr>
        <w:t>prawu państwa polskiego</w:t>
      </w:r>
      <w:r w:rsidR="007C5540" w:rsidRPr="00F86CFA">
        <w:rPr>
          <w:sz w:val="22"/>
          <w:szCs w:val="22"/>
        </w:rPr>
        <w:t xml:space="preserve">. Przemawia to przeciwko uznaniu, że wolą stron mógł być częściowy wybór prawa. </w:t>
      </w:r>
      <w:r w:rsidR="002B7E69" w:rsidRPr="00F86CFA">
        <w:rPr>
          <w:sz w:val="22"/>
          <w:szCs w:val="22"/>
        </w:rPr>
        <w:t xml:space="preserve">Po piąte, przedmiotem przelewu były wierzytelności </w:t>
      </w:r>
      <w:r w:rsidR="005340BB" w:rsidRPr="00F86CFA">
        <w:rPr>
          <w:sz w:val="22"/>
          <w:szCs w:val="22"/>
        </w:rPr>
        <w:t>przysługujące przeciwko dłużnikom mającym siedzibę lu</w:t>
      </w:r>
      <w:r w:rsidR="004B4C0E" w:rsidRPr="00F86CFA">
        <w:rPr>
          <w:sz w:val="22"/>
          <w:szCs w:val="22"/>
        </w:rPr>
        <w:t>b </w:t>
      </w:r>
      <w:r w:rsidR="005340BB" w:rsidRPr="00F86CFA">
        <w:rPr>
          <w:sz w:val="22"/>
          <w:szCs w:val="22"/>
        </w:rPr>
        <w:t xml:space="preserve">miejsce zamieszkania na terytorium Rzeczypospolitej Polskiej. </w:t>
      </w:r>
      <w:r w:rsidR="000801B6" w:rsidRPr="00F86CFA">
        <w:rPr>
          <w:sz w:val="22"/>
          <w:szCs w:val="22"/>
        </w:rPr>
        <w:t xml:space="preserve">Z tego względu, forum dla ich dochodzenia stanowią sądy polskie. Okoliczność ta stanowi uzasadnienie woli stron umowy – mających siedziby na terytorium Republiki Federalnej Niemiec – </w:t>
      </w:r>
      <w:r w:rsidR="00334760" w:rsidRPr="00F86CFA">
        <w:rPr>
          <w:sz w:val="22"/>
          <w:szCs w:val="22"/>
        </w:rPr>
        <w:t>wybrania dla</w:t>
      </w:r>
      <w:r w:rsidR="000801B6" w:rsidRPr="00F86CFA">
        <w:rPr>
          <w:sz w:val="22"/>
          <w:szCs w:val="22"/>
        </w:rPr>
        <w:t xml:space="preserve"> czynności przelewu </w:t>
      </w:r>
      <w:r w:rsidR="00334760" w:rsidRPr="00F86CFA">
        <w:rPr>
          <w:sz w:val="22"/>
          <w:szCs w:val="22"/>
        </w:rPr>
        <w:t>prawa obcego</w:t>
      </w:r>
      <w:r w:rsidR="000801B6" w:rsidRPr="00F86CFA">
        <w:rPr>
          <w:sz w:val="22"/>
          <w:szCs w:val="22"/>
        </w:rPr>
        <w:t>. Racjonalni uczestnicy obrotu prawnego są świadomi, że poddanie umowy prawu polskiemu pozwoli na sprawniejsze zrealizowanie wierzytelności w sądzie polskim, który</w:t>
      </w:r>
      <w:r w:rsidR="00F86CFA">
        <w:rPr>
          <w:sz w:val="22"/>
          <w:szCs w:val="22"/>
        </w:rPr>
        <w:t xml:space="preserve"> nie będzie musiał wówczas, dla </w:t>
      </w:r>
      <w:r w:rsidR="007423D7" w:rsidRPr="00F86CFA">
        <w:rPr>
          <w:sz w:val="22"/>
          <w:szCs w:val="22"/>
        </w:rPr>
        <w:t xml:space="preserve">dokonania </w:t>
      </w:r>
      <w:r w:rsidR="000801B6" w:rsidRPr="00F86CFA">
        <w:rPr>
          <w:sz w:val="22"/>
          <w:szCs w:val="22"/>
        </w:rPr>
        <w:t xml:space="preserve">oceny skutków </w:t>
      </w:r>
      <w:r w:rsidR="007423D7" w:rsidRPr="00F86CFA">
        <w:rPr>
          <w:sz w:val="22"/>
          <w:szCs w:val="22"/>
        </w:rPr>
        <w:t xml:space="preserve">umowy </w:t>
      </w:r>
      <w:r w:rsidR="000801B6" w:rsidRPr="00F86CFA">
        <w:rPr>
          <w:sz w:val="22"/>
          <w:szCs w:val="22"/>
        </w:rPr>
        <w:t>przelewu, ustalać treści prawa dla siebie obcego. Reasumując, całokształt przedstawionych okoliczności przemawia z</w:t>
      </w:r>
      <w:r w:rsidR="00D428FB" w:rsidRPr="00F86CFA">
        <w:rPr>
          <w:sz w:val="22"/>
          <w:szCs w:val="22"/>
        </w:rPr>
        <w:t>a uznaniem, że</w:t>
      </w:r>
      <w:r w:rsidR="004B4C0E" w:rsidRPr="00F86CFA">
        <w:rPr>
          <w:sz w:val="22"/>
          <w:szCs w:val="22"/>
        </w:rPr>
        <w:t> </w:t>
      </w:r>
      <w:r w:rsidR="00D428FB" w:rsidRPr="00F86CFA">
        <w:rPr>
          <w:sz w:val="22"/>
          <w:szCs w:val="22"/>
        </w:rPr>
        <w:t>najbardziej praw</w:t>
      </w:r>
      <w:r w:rsidR="00F86CFA">
        <w:rPr>
          <w:sz w:val="22"/>
          <w:szCs w:val="22"/>
        </w:rPr>
        <w:t>dopodobną i </w:t>
      </w:r>
      <w:r w:rsidR="000801B6" w:rsidRPr="00F86CFA">
        <w:rPr>
          <w:sz w:val="22"/>
          <w:szCs w:val="22"/>
        </w:rPr>
        <w:t>racjonalną wolą stron</w:t>
      </w:r>
      <w:r w:rsidR="00334760" w:rsidRPr="00F86CFA">
        <w:rPr>
          <w:sz w:val="22"/>
          <w:szCs w:val="22"/>
        </w:rPr>
        <w:t xml:space="preserve"> umowy</w:t>
      </w:r>
      <w:r w:rsidR="000801B6" w:rsidRPr="00F86CFA">
        <w:rPr>
          <w:sz w:val="22"/>
          <w:szCs w:val="22"/>
        </w:rPr>
        <w:t xml:space="preserve"> było poddanie jej w całości prawu polskiemu</w:t>
      </w:r>
      <w:r w:rsidR="00872969" w:rsidRPr="00F86CFA">
        <w:rPr>
          <w:sz w:val="22"/>
          <w:szCs w:val="22"/>
        </w:rPr>
        <w:t>.</w:t>
      </w:r>
    </w:p>
    <w:p w14:paraId="23A217B6" w14:textId="77777777" w:rsidR="006E56DE" w:rsidRPr="00F86CFA" w:rsidRDefault="006E56DE" w:rsidP="00A95565">
      <w:pPr>
        <w:ind w:left="0" w:firstLine="0"/>
        <w:rPr>
          <w:sz w:val="22"/>
          <w:szCs w:val="22"/>
        </w:rPr>
      </w:pPr>
    </w:p>
    <w:p w14:paraId="35F16C8B" w14:textId="6D3002B4" w:rsidR="00625F03" w:rsidRPr="00F86CFA" w:rsidRDefault="006E56DE" w:rsidP="00A95565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W następnej kolejności, niezbędne jes</w:t>
      </w:r>
      <w:r w:rsidR="00334760" w:rsidRPr="00F86CFA">
        <w:rPr>
          <w:sz w:val="22"/>
          <w:szCs w:val="22"/>
        </w:rPr>
        <w:t>t dokonanie wykładni oświadczeń</w:t>
      </w:r>
      <w:r w:rsidRPr="00F86CFA">
        <w:rPr>
          <w:sz w:val="22"/>
          <w:szCs w:val="22"/>
        </w:rPr>
        <w:t xml:space="preserve"> stron</w:t>
      </w:r>
      <w:r w:rsidR="00334760" w:rsidRPr="00F86CFA">
        <w:rPr>
          <w:sz w:val="22"/>
          <w:szCs w:val="22"/>
        </w:rPr>
        <w:t xml:space="preserve"> umowy przelewu i </w:t>
      </w:r>
      <w:r w:rsidRPr="00F86CFA">
        <w:rPr>
          <w:sz w:val="22"/>
          <w:szCs w:val="22"/>
        </w:rPr>
        <w:t>ustalenie, jakie wierzytelności były objęte wolą ich przeniesienia na</w:t>
      </w:r>
      <w:r w:rsidR="00CB679A" w:rsidRPr="00F86CFA">
        <w:rPr>
          <w:sz w:val="22"/>
          <w:szCs w:val="22"/>
        </w:rPr>
        <w:t xml:space="preserve"> Powoda</w:t>
      </w:r>
      <w:r w:rsidR="00334760" w:rsidRPr="00F86CFA">
        <w:rPr>
          <w:sz w:val="22"/>
          <w:szCs w:val="22"/>
        </w:rPr>
        <w:t>. Dla </w:t>
      </w:r>
      <w:r w:rsidRPr="00F86CFA">
        <w:rPr>
          <w:sz w:val="22"/>
          <w:szCs w:val="22"/>
        </w:rPr>
        <w:t xml:space="preserve">omawianej kwestii kluczowe znaczenie ma § 2 ust. 2 umowy przelewu, z którego wynika, że przeniesieniu na </w:t>
      </w:r>
      <w:r w:rsidR="00625F03" w:rsidRPr="00F86CFA">
        <w:rPr>
          <w:sz w:val="22"/>
          <w:szCs w:val="22"/>
        </w:rPr>
        <w:t>cesjonariusza</w:t>
      </w:r>
      <w:r w:rsidRPr="00F86CFA">
        <w:rPr>
          <w:sz w:val="22"/>
          <w:szCs w:val="22"/>
        </w:rPr>
        <w:t xml:space="preserve"> podlegają wierzytelności wskazane w załączniku do umowy „wraz ze wszystkimi związanymi z nimi prawami”. </w:t>
      </w:r>
      <w:r w:rsidR="00625F03" w:rsidRPr="00F86CFA">
        <w:rPr>
          <w:sz w:val="22"/>
          <w:szCs w:val="22"/>
        </w:rPr>
        <w:t>Desygnaty</w:t>
      </w:r>
      <w:r w:rsidRPr="00F86CFA">
        <w:rPr>
          <w:sz w:val="22"/>
          <w:szCs w:val="22"/>
        </w:rPr>
        <w:t xml:space="preserve"> pojęcia „praw związanych”</w:t>
      </w:r>
      <w:r w:rsidR="00625F03" w:rsidRPr="00F86CFA">
        <w:rPr>
          <w:sz w:val="22"/>
          <w:szCs w:val="22"/>
        </w:rPr>
        <w:t>, użytego</w:t>
      </w:r>
      <w:r w:rsidRPr="00F86CFA">
        <w:rPr>
          <w:sz w:val="22"/>
          <w:szCs w:val="22"/>
        </w:rPr>
        <w:t xml:space="preserve"> na gruncie przedmiotowej umowy</w:t>
      </w:r>
      <w:r w:rsidR="00625F03" w:rsidRPr="00F86CFA">
        <w:rPr>
          <w:sz w:val="22"/>
          <w:szCs w:val="22"/>
        </w:rPr>
        <w:t>,</w:t>
      </w:r>
      <w:r w:rsidRPr="00F86CFA">
        <w:rPr>
          <w:sz w:val="22"/>
          <w:szCs w:val="22"/>
        </w:rPr>
        <w:t xml:space="preserve"> należy ustalić biorąc pod uwagę, że zgodnie z § 7 ust. 3 umowy przelewu</w:t>
      </w:r>
      <w:r w:rsidR="00334760" w:rsidRPr="00F86CFA">
        <w:rPr>
          <w:sz w:val="22"/>
          <w:szCs w:val="22"/>
        </w:rPr>
        <w:t>,</w:t>
      </w:r>
      <w:r w:rsidRPr="00F86CFA">
        <w:rPr>
          <w:sz w:val="22"/>
          <w:szCs w:val="22"/>
        </w:rPr>
        <w:t xml:space="preserve"> w</w:t>
      </w:r>
      <w:r w:rsidR="00D428FB" w:rsidRPr="00F86CFA">
        <w:rPr>
          <w:sz w:val="22"/>
          <w:szCs w:val="22"/>
        </w:rPr>
        <w:t> </w:t>
      </w:r>
      <w:r w:rsidRPr="00F86CFA">
        <w:rPr>
          <w:sz w:val="22"/>
          <w:szCs w:val="22"/>
        </w:rPr>
        <w:t>r</w:t>
      </w:r>
      <w:r w:rsidR="00F86CFA">
        <w:rPr>
          <w:sz w:val="22"/>
          <w:szCs w:val="22"/>
        </w:rPr>
        <w:t>azie rozbieżności językowych za </w:t>
      </w:r>
      <w:r w:rsidRPr="00F86CFA">
        <w:rPr>
          <w:sz w:val="22"/>
          <w:szCs w:val="22"/>
        </w:rPr>
        <w:t xml:space="preserve">autentyczną należy uznać jej wersję polską. </w:t>
      </w:r>
      <w:r w:rsidR="00625F03" w:rsidRPr="00F86CFA">
        <w:rPr>
          <w:sz w:val="22"/>
          <w:szCs w:val="22"/>
        </w:rPr>
        <w:t xml:space="preserve">Konieczne jest więc uwzględnienie znaczenia tego sformułowania w języku polskim. </w:t>
      </w:r>
    </w:p>
    <w:p w14:paraId="2020862D" w14:textId="77777777" w:rsidR="00625F03" w:rsidRPr="00F86CFA" w:rsidRDefault="00625F03" w:rsidP="00A95565">
      <w:pPr>
        <w:ind w:left="0" w:firstLine="0"/>
        <w:rPr>
          <w:sz w:val="22"/>
          <w:szCs w:val="22"/>
        </w:rPr>
      </w:pPr>
    </w:p>
    <w:p w14:paraId="1368CBDD" w14:textId="41A1A158" w:rsidR="0086796E" w:rsidRPr="00F86CFA" w:rsidRDefault="006E56DE" w:rsidP="00A95565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lastRenderedPageBreak/>
        <w:t xml:space="preserve">Odnotować należy, że w </w:t>
      </w:r>
      <w:r w:rsidR="00625F03" w:rsidRPr="00F86CFA">
        <w:rPr>
          <w:sz w:val="22"/>
          <w:szCs w:val="22"/>
        </w:rPr>
        <w:t xml:space="preserve">polskim </w:t>
      </w:r>
      <w:r w:rsidR="004B4C0E" w:rsidRPr="00F86CFA">
        <w:rPr>
          <w:sz w:val="22"/>
          <w:szCs w:val="22"/>
        </w:rPr>
        <w:t>k</w:t>
      </w:r>
      <w:r w:rsidRPr="00F86CFA">
        <w:rPr>
          <w:sz w:val="22"/>
          <w:szCs w:val="22"/>
        </w:rPr>
        <w:t>odeksie cywilnym pojęcie „praw zw</w:t>
      </w:r>
      <w:r w:rsidR="00625F03" w:rsidRPr="00F86CFA">
        <w:rPr>
          <w:sz w:val="22"/>
          <w:szCs w:val="22"/>
        </w:rPr>
        <w:t>iązanych” użyte jest w</w:t>
      </w:r>
      <w:r w:rsidR="004B4C0E" w:rsidRPr="00F86CFA">
        <w:rPr>
          <w:sz w:val="22"/>
          <w:szCs w:val="22"/>
        </w:rPr>
        <w:t> </w:t>
      </w:r>
      <w:r w:rsidR="00625F03" w:rsidRPr="00F86CFA">
        <w:rPr>
          <w:sz w:val="22"/>
          <w:szCs w:val="22"/>
        </w:rPr>
        <w:t>art. 509 </w:t>
      </w:r>
      <w:r w:rsidR="00F86CFA">
        <w:rPr>
          <w:sz w:val="22"/>
          <w:szCs w:val="22"/>
        </w:rPr>
        <w:t>§ </w:t>
      </w:r>
      <w:r w:rsidRPr="00F86CFA">
        <w:rPr>
          <w:sz w:val="22"/>
          <w:szCs w:val="22"/>
        </w:rPr>
        <w:t>2, określającym skutki przelewu: „</w:t>
      </w:r>
      <w:r w:rsidR="004B4C0E" w:rsidRPr="00F86CFA">
        <w:rPr>
          <w:sz w:val="22"/>
          <w:szCs w:val="22"/>
        </w:rPr>
        <w:t>[w]</w:t>
      </w:r>
      <w:r w:rsidRPr="00F86CFA">
        <w:rPr>
          <w:sz w:val="22"/>
          <w:szCs w:val="22"/>
        </w:rPr>
        <w:t xml:space="preserve">raz z wierzytelnością przechodzą na nabywcę wszelkie </w:t>
      </w:r>
      <w:r w:rsidRPr="00F86CFA">
        <w:rPr>
          <w:b/>
          <w:sz w:val="22"/>
          <w:szCs w:val="22"/>
        </w:rPr>
        <w:t>związane z nią prawa</w:t>
      </w:r>
      <w:r w:rsidRPr="00F86CFA">
        <w:rPr>
          <w:sz w:val="22"/>
          <w:szCs w:val="22"/>
        </w:rPr>
        <w:t>, w szczególności roszczenie o zaległe odsetki”</w:t>
      </w:r>
      <w:r w:rsidR="004B4C0E" w:rsidRPr="00F86CFA">
        <w:rPr>
          <w:sz w:val="22"/>
          <w:szCs w:val="22"/>
        </w:rPr>
        <w:t>.</w:t>
      </w:r>
      <w:r w:rsidR="00625F03" w:rsidRPr="00F86CFA">
        <w:rPr>
          <w:sz w:val="22"/>
          <w:szCs w:val="22"/>
        </w:rPr>
        <w:t xml:space="preserve"> Jak wskazuje się w</w:t>
      </w:r>
      <w:r w:rsidR="004B4C0E" w:rsidRPr="00F86CFA">
        <w:rPr>
          <w:sz w:val="22"/>
          <w:szCs w:val="22"/>
        </w:rPr>
        <w:t> </w:t>
      </w:r>
      <w:r w:rsidR="00625F03" w:rsidRPr="00F86CFA">
        <w:rPr>
          <w:sz w:val="22"/>
          <w:szCs w:val="22"/>
        </w:rPr>
        <w:t>doktrynie</w:t>
      </w:r>
      <w:r w:rsidR="004B4C0E" w:rsidRPr="00F86CFA">
        <w:rPr>
          <w:sz w:val="22"/>
          <w:szCs w:val="22"/>
        </w:rPr>
        <w:t>,</w:t>
      </w:r>
      <w:r w:rsidR="00625F03" w:rsidRPr="00F86CFA">
        <w:rPr>
          <w:sz w:val="22"/>
          <w:szCs w:val="22"/>
        </w:rPr>
        <w:t xml:space="preserve"> „</w:t>
      </w:r>
      <w:r w:rsidR="004B4C0E" w:rsidRPr="00F86CFA">
        <w:rPr>
          <w:sz w:val="22"/>
          <w:szCs w:val="22"/>
        </w:rPr>
        <w:t>[j]</w:t>
      </w:r>
      <w:proofErr w:type="spellStart"/>
      <w:r w:rsidR="00625F03" w:rsidRPr="00F86CFA">
        <w:rPr>
          <w:sz w:val="22"/>
          <w:szCs w:val="22"/>
        </w:rPr>
        <w:t>eżeli</w:t>
      </w:r>
      <w:proofErr w:type="spellEnd"/>
      <w:r w:rsidR="00625F03" w:rsidRPr="00F86CFA">
        <w:rPr>
          <w:sz w:val="22"/>
          <w:szCs w:val="22"/>
        </w:rPr>
        <w:t xml:space="preserve"> strony posługują się słowem, którego znaczenie jest określone w ustawie (w</w:t>
      </w:r>
      <w:r w:rsidR="004B4C0E" w:rsidRPr="00F86CFA">
        <w:rPr>
          <w:sz w:val="22"/>
          <w:szCs w:val="22"/>
        </w:rPr>
        <w:t> </w:t>
      </w:r>
      <w:r w:rsidR="00625F03" w:rsidRPr="00F86CFA">
        <w:rPr>
          <w:sz w:val="22"/>
          <w:szCs w:val="22"/>
        </w:rPr>
        <w:t>formie definicji ustawowej lub pośrednio, przez określone użycie tego słowa), to w braku odmiennych wskazówek wynikających z oświadczenia woli lub okoliczności należy przyjąć, że miały one na względzie to właśnie znaczenie”</w:t>
      </w:r>
      <w:r w:rsidR="003F7358" w:rsidRPr="00F86CFA">
        <w:rPr>
          <w:sz w:val="22"/>
          <w:szCs w:val="22"/>
        </w:rPr>
        <w:t xml:space="preserve"> (P. Machnikowski [w:] E. Gniewek, P. Machnikowski (red.), </w:t>
      </w:r>
      <w:r w:rsidR="003F7358" w:rsidRPr="00F86CFA">
        <w:rPr>
          <w:i/>
          <w:sz w:val="22"/>
          <w:szCs w:val="22"/>
        </w:rPr>
        <w:t>Kodeks cywilny. Komentarz</w:t>
      </w:r>
      <w:r w:rsidR="003F7358" w:rsidRPr="00F86CFA">
        <w:rPr>
          <w:sz w:val="22"/>
          <w:szCs w:val="22"/>
        </w:rPr>
        <w:t xml:space="preserve">, 2019, art. 65, </w:t>
      </w:r>
      <w:proofErr w:type="spellStart"/>
      <w:r w:rsidR="003F7358" w:rsidRPr="00F86CFA">
        <w:rPr>
          <w:sz w:val="22"/>
          <w:szCs w:val="22"/>
        </w:rPr>
        <w:t>nb</w:t>
      </w:r>
      <w:proofErr w:type="spellEnd"/>
      <w:r w:rsidR="003F7358" w:rsidRPr="00F86CFA">
        <w:rPr>
          <w:sz w:val="22"/>
          <w:szCs w:val="22"/>
        </w:rPr>
        <w:t xml:space="preserve"> 15, </w:t>
      </w:r>
      <w:proofErr w:type="spellStart"/>
      <w:r w:rsidR="003F7358" w:rsidRPr="00F86CFA">
        <w:rPr>
          <w:sz w:val="22"/>
          <w:szCs w:val="22"/>
        </w:rPr>
        <w:t>Legalis</w:t>
      </w:r>
      <w:proofErr w:type="spellEnd"/>
      <w:r w:rsidR="003F7358" w:rsidRPr="00F86CFA">
        <w:rPr>
          <w:sz w:val="22"/>
          <w:szCs w:val="22"/>
        </w:rPr>
        <w:t>).</w:t>
      </w:r>
      <w:r w:rsidR="0086796E" w:rsidRPr="00F86CFA">
        <w:rPr>
          <w:sz w:val="22"/>
          <w:szCs w:val="22"/>
        </w:rPr>
        <w:t xml:space="preserve"> Doktryna i orzecznictwo wskazują, że użyte w kontekście umowy przelewu pojęcie „praw związanych” jest rozumiane w specyficzny, szeroki sposób: „</w:t>
      </w:r>
      <w:r w:rsidR="004B4C0E" w:rsidRPr="00F86CFA">
        <w:rPr>
          <w:sz w:val="22"/>
          <w:szCs w:val="22"/>
        </w:rPr>
        <w:t>[a]</w:t>
      </w:r>
      <w:proofErr w:type="spellStart"/>
      <w:r w:rsidR="0086796E" w:rsidRPr="00F86CFA">
        <w:rPr>
          <w:sz w:val="22"/>
          <w:szCs w:val="22"/>
        </w:rPr>
        <w:t>rtykuł</w:t>
      </w:r>
      <w:proofErr w:type="spellEnd"/>
      <w:r w:rsidR="0086796E" w:rsidRPr="00F86CFA">
        <w:rPr>
          <w:sz w:val="22"/>
          <w:szCs w:val="22"/>
        </w:rPr>
        <w:t xml:space="preserve"> 509 § 2 k.c., uznając roszczenia o zaległe odsetki, których byt prawny jest niezależny od należności głównej, za prawa z nią związane, nadał terminowi „prawa związane” </w:t>
      </w:r>
      <w:r w:rsidR="0086796E" w:rsidRPr="00F86CFA">
        <w:rPr>
          <w:b/>
          <w:sz w:val="22"/>
          <w:szCs w:val="22"/>
        </w:rPr>
        <w:t>bardzo szerokie znaczenie</w:t>
      </w:r>
      <w:r w:rsidR="0086796E" w:rsidRPr="00F86CFA">
        <w:rPr>
          <w:sz w:val="22"/>
          <w:szCs w:val="22"/>
        </w:rPr>
        <w:t>, odbiegające od tego, które mu się zazwyczaj przypisuje. (…) z mocy art.</w:t>
      </w:r>
      <w:r w:rsidR="004B4C0E" w:rsidRPr="00F86CFA">
        <w:rPr>
          <w:sz w:val="22"/>
          <w:szCs w:val="22"/>
        </w:rPr>
        <w:t> </w:t>
      </w:r>
      <w:r w:rsidR="0086796E" w:rsidRPr="00F86CFA">
        <w:rPr>
          <w:sz w:val="22"/>
          <w:szCs w:val="22"/>
        </w:rPr>
        <w:t xml:space="preserve">509 § 2 KC przechodzą na cesjonariusza także jako prawo akcesoryjne </w:t>
      </w:r>
      <w:r w:rsidR="0086796E" w:rsidRPr="00F86CFA">
        <w:rPr>
          <w:b/>
          <w:sz w:val="22"/>
          <w:szCs w:val="22"/>
        </w:rPr>
        <w:t>poręczenie</w:t>
      </w:r>
      <w:r w:rsidR="005355A8" w:rsidRPr="00F86CFA">
        <w:rPr>
          <w:sz w:val="22"/>
          <w:szCs w:val="22"/>
        </w:rPr>
        <w:t>, zastaw i hipoteka”</w:t>
      </w:r>
      <w:r w:rsidR="003F7358" w:rsidRPr="00F86CFA">
        <w:rPr>
          <w:sz w:val="22"/>
          <w:szCs w:val="22"/>
        </w:rPr>
        <w:t xml:space="preserve"> (K. Zawada </w:t>
      </w:r>
      <w:r w:rsidR="00CD1A50" w:rsidRPr="00F86CFA">
        <w:rPr>
          <w:sz w:val="22"/>
          <w:szCs w:val="22"/>
        </w:rPr>
        <w:t>[</w:t>
      </w:r>
      <w:r w:rsidR="003F7358" w:rsidRPr="00F86CFA">
        <w:rPr>
          <w:sz w:val="22"/>
          <w:szCs w:val="22"/>
        </w:rPr>
        <w:t>w:</w:t>
      </w:r>
      <w:r w:rsidR="00CD1A50" w:rsidRPr="00F86CFA">
        <w:rPr>
          <w:sz w:val="22"/>
          <w:szCs w:val="22"/>
        </w:rPr>
        <w:t>]</w:t>
      </w:r>
      <w:r w:rsidR="003F7358" w:rsidRPr="00F86CFA">
        <w:rPr>
          <w:sz w:val="22"/>
          <w:szCs w:val="22"/>
        </w:rPr>
        <w:t xml:space="preserve"> </w:t>
      </w:r>
      <w:r w:rsidR="00CD1A50" w:rsidRPr="00F86CFA">
        <w:rPr>
          <w:sz w:val="22"/>
          <w:szCs w:val="22"/>
        </w:rPr>
        <w:t xml:space="preserve">A. Olejniczak (red.), </w:t>
      </w:r>
      <w:r w:rsidR="003F7358" w:rsidRPr="00F86CFA">
        <w:rPr>
          <w:i/>
          <w:sz w:val="22"/>
          <w:szCs w:val="22"/>
        </w:rPr>
        <w:t>System Prawa Prywatnego. Prawo zobowiązań – część ogólna</w:t>
      </w:r>
      <w:r w:rsidR="003F7358" w:rsidRPr="00F86CFA">
        <w:rPr>
          <w:sz w:val="22"/>
          <w:szCs w:val="22"/>
        </w:rPr>
        <w:t xml:space="preserve">, </w:t>
      </w:r>
      <w:r w:rsidR="003F7358" w:rsidRPr="00F86CFA">
        <w:rPr>
          <w:i/>
          <w:sz w:val="22"/>
          <w:szCs w:val="22"/>
        </w:rPr>
        <w:t>t. 6</w:t>
      </w:r>
      <w:r w:rsidR="00F86CFA">
        <w:rPr>
          <w:sz w:val="22"/>
          <w:szCs w:val="22"/>
        </w:rPr>
        <w:t xml:space="preserve">, 2018, </w:t>
      </w:r>
      <w:proofErr w:type="spellStart"/>
      <w:r w:rsidR="00F86CFA">
        <w:rPr>
          <w:sz w:val="22"/>
          <w:szCs w:val="22"/>
        </w:rPr>
        <w:t>nb</w:t>
      </w:r>
      <w:proofErr w:type="spellEnd"/>
      <w:r w:rsidR="00F86CFA">
        <w:rPr>
          <w:sz w:val="22"/>
          <w:szCs w:val="22"/>
        </w:rPr>
        <w:t> </w:t>
      </w:r>
      <w:r w:rsidR="003F7358" w:rsidRPr="00F86CFA">
        <w:rPr>
          <w:sz w:val="22"/>
          <w:szCs w:val="22"/>
        </w:rPr>
        <w:t xml:space="preserve">82, </w:t>
      </w:r>
      <w:proofErr w:type="spellStart"/>
      <w:r w:rsidR="003F7358" w:rsidRPr="00F86CFA">
        <w:rPr>
          <w:sz w:val="22"/>
          <w:szCs w:val="22"/>
        </w:rPr>
        <w:t>Legalis</w:t>
      </w:r>
      <w:proofErr w:type="spellEnd"/>
      <w:r w:rsidR="003F7358" w:rsidRPr="00F86CFA">
        <w:rPr>
          <w:sz w:val="22"/>
          <w:szCs w:val="22"/>
        </w:rPr>
        <w:t>).</w:t>
      </w:r>
      <w:r w:rsidR="0086796E" w:rsidRPr="00F86CFA">
        <w:rPr>
          <w:sz w:val="22"/>
          <w:szCs w:val="22"/>
        </w:rPr>
        <w:t xml:space="preserve"> Jak wskazał Sąd Najwyższy w wyroku z dnia 28</w:t>
      </w:r>
      <w:r w:rsidR="004B4C0E" w:rsidRPr="00F86CFA">
        <w:rPr>
          <w:sz w:val="22"/>
          <w:szCs w:val="22"/>
        </w:rPr>
        <w:t> </w:t>
      </w:r>
      <w:r w:rsidR="0086796E" w:rsidRPr="00F86CFA">
        <w:rPr>
          <w:sz w:val="22"/>
          <w:szCs w:val="22"/>
        </w:rPr>
        <w:t>listopada</w:t>
      </w:r>
      <w:r w:rsidR="004B4C0E" w:rsidRPr="00F86CFA">
        <w:rPr>
          <w:sz w:val="22"/>
          <w:szCs w:val="22"/>
        </w:rPr>
        <w:t> </w:t>
      </w:r>
      <w:r w:rsidR="0086796E" w:rsidRPr="00F86CFA">
        <w:rPr>
          <w:sz w:val="22"/>
          <w:szCs w:val="22"/>
        </w:rPr>
        <w:t xml:space="preserve">2006 r. </w:t>
      </w:r>
      <w:r w:rsidR="00F86CFA">
        <w:rPr>
          <w:sz w:val="22"/>
          <w:szCs w:val="22"/>
        </w:rPr>
        <w:t>w sprawie o </w:t>
      </w:r>
      <w:r w:rsidR="003F7358" w:rsidRPr="00F86CFA">
        <w:rPr>
          <w:sz w:val="22"/>
          <w:szCs w:val="22"/>
        </w:rPr>
        <w:t xml:space="preserve">sygnaturze </w:t>
      </w:r>
      <w:r w:rsidR="0086796E" w:rsidRPr="00F86CFA">
        <w:rPr>
          <w:sz w:val="22"/>
          <w:szCs w:val="22"/>
        </w:rPr>
        <w:t>IV CSK 224/06</w:t>
      </w:r>
      <w:r w:rsidR="003F7358" w:rsidRPr="00F86CFA">
        <w:rPr>
          <w:sz w:val="22"/>
          <w:szCs w:val="22"/>
        </w:rPr>
        <w:t xml:space="preserve"> (</w:t>
      </w:r>
      <w:r w:rsidR="00CD1A50" w:rsidRPr="00F86CFA">
        <w:rPr>
          <w:sz w:val="22"/>
          <w:szCs w:val="22"/>
        </w:rPr>
        <w:t>LEX nr 462931)</w:t>
      </w:r>
      <w:r w:rsidR="0086796E" w:rsidRPr="00F86CFA">
        <w:rPr>
          <w:sz w:val="22"/>
          <w:szCs w:val="22"/>
        </w:rPr>
        <w:t xml:space="preserve"> „</w:t>
      </w:r>
      <w:r w:rsidR="00CD1A50" w:rsidRPr="00F86CFA">
        <w:rPr>
          <w:sz w:val="22"/>
          <w:szCs w:val="22"/>
        </w:rPr>
        <w:t>p</w:t>
      </w:r>
      <w:r w:rsidR="0086796E" w:rsidRPr="00F86CFA">
        <w:rPr>
          <w:sz w:val="22"/>
          <w:szCs w:val="22"/>
        </w:rPr>
        <w:t>rzyjąć należy, że z</w:t>
      </w:r>
      <w:r w:rsidR="004B4C0E" w:rsidRPr="00F86CFA">
        <w:rPr>
          <w:sz w:val="22"/>
          <w:szCs w:val="22"/>
        </w:rPr>
        <w:t> </w:t>
      </w:r>
      <w:r w:rsidR="0086796E" w:rsidRPr="00F86CFA">
        <w:rPr>
          <w:sz w:val="22"/>
          <w:szCs w:val="22"/>
        </w:rPr>
        <w:t>braku odmiennego zastrzeżenia stron, na podstawie art. 509 § 2 k.c. oprócz wyraźnie wymienionego ros</w:t>
      </w:r>
      <w:r w:rsidR="00F86CFA">
        <w:rPr>
          <w:sz w:val="22"/>
          <w:szCs w:val="22"/>
        </w:rPr>
        <w:t>zczenia o odsetki, przechodzą z </w:t>
      </w:r>
      <w:r w:rsidR="0086796E" w:rsidRPr="00F86CFA">
        <w:rPr>
          <w:sz w:val="22"/>
          <w:szCs w:val="22"/>
        </w:rPr>
        <w:t>cedenta na cesjonariusza np. roszczenie o zaległe odsetki, (…)</w:t>
      </w:r>
      <w:r w:rsidR="004B4C0E" w:rsidRPr="00F86CFA">
        <w:rPr>
          <w:sz w:val="22"/>
          <w:szCs w:val="22"/>
        </w:rPr>
        <w:t> </w:t>
      </w:r>
      <w:r w:rsidR="0086796E" w:rsidRPr="00F86CFA">
        <w:rPr>
          <w:b/>
          <w:sz w:val="22"/>
          <w:szCs w:val="22"/>
        </w:rPr>
        <w:t>roszczenie z tytułu poręczenia</w:t>
      </w:r>
      <w:r w:rsidR="0086796E" w:rsidRPr="00F86CFA">
        <w:rPr>
          <w:sz w:val="22"/>
          <w:szCs w:val="22"/>
        </w:rPr>
        <w:t xml:space="preserve"> i inne”</w:t>
      </w:r>
      <w:r w:rsidR="004B4C0E" w:rsidRPr="00F86CFA">
        <w:rPr>
          <w:sz w:val="22"/>
          <w:szCs w:val="22"/>
        </w:rPr>
        <w:t>.</w:t>
      </w:r>
      <w:r w:rsidR="00F27680" w:rsidRPr="00F86CFA">
        <w:rPr>
          <w:sz w:val="22"/>
          <w:szCs w:val="22"/>
        </w:rPr>
        <w:t xml:space="preserve"> Podobnie Sąd Najwyższy wypowiedział się w</w:t>
      </w:r>
      <w:r w:rsidR="004B4C0E" w:rsidRPr="00F86CFA">
        <w:rPr>
          <w:sz w:val="22"/>
          <w:szCs w:val="22"/>
        </w:rPr>
        <w:t> </w:t>
      </w:r>
      <w:r w:rsidR="00F27680" w:rsidRPr="00F86CFA">
        <w:rPr>
          <w:sz w:val="22"/>
          <w:szCs w:val="22"/>
        </w:rPr>
        <w:t xml:space="preserve">postanowieniu z dnia 21 marca 2013 r. </w:t>
      </w:r>
      <w:r w:rsidR="00CD1A50" w:rsidRPr="00F86CFA">
        <w:rPr>
          <w:sz w:val="22"/>
          <w:szCs w:val="22"/>
        </w:rPr>
        <w:t>(</w:t>
      </w:r>
      <w:r w:rsidR="00F27680" w:rsidRPr="00F86CFA">
        <w:rPr>
          <w:sz w:val="22"/>
          <w:szCs w:val="22"/>
        </w:rPr>
        <w:t>II CSK 396/12</w:t>
      </w:r>
      <w:r w:rsidR="00CD1A50" w:rsidRPr="00F86CFA">
        <w:rPr>
          <w:sz w:val="22"/>
          <w:szCs w:val="22"/>
        </w:rPr>
        <w:t>, LEX nr 1324263):</w:t>
      </w:r>
      <w:r w:rsidR="00F27680" w:rsidRPr="00F86CFA">
        <w:rPr>
          <w:sz w:val="22"/>
          <w:szCs w:val="22"/>
        </w:rPr>
        <w:t xml:space="preserve"> „</w:t>
      </w:r>
      <w:r w:rsidR="004B4C0E" w:rsidRPr="00F86CFA">
        <w:rPr>
          <w:sz w:val="22"/>
          <w:szCs w:val="22"/>
        </w:rPr>
        <w:t>[w]</w:t>
      </w:r>
      <w:r w:rsidR="00F27680" w:rsidRPr="00F86CFA">
        <w:rPr>
          <w:sz w:val="22"/>
          <w:szCs w:val="22"/>
        </w:rPr>
        <w:t xml:space="preserve"> wyniku przelewu przechodzi na nabywcę ogół uprawnień przysługujących dotychczasowemu wierzycielowi. Wierzyciel zostaje wyłączony ze stosunku zobowiązaniowego, jaki łączył go z dłużnikiem. Na nabywcę (odpowiednio na osobę trzecią) przechodzą wszelkie prawa uboczne, związane z wierzytelnością, w</w:t>
      </w:r>
      <w:r w:rsidR="004B4C0E" w:rsidRPr="00F86CFA">
        <w:rPr>
          <w:sz w:val="22"/>
          <w:szCs w:val="22"/>
        </w:rPr>
        <w:t> </w:t>
      </w:r>
      <w:r w:rsidR="00F27680" w:rsidRPr="00F86CFA">
        <w:rPr>
          <w:sz w:val="22"/>
          <w:szCs w:val="22"/>
        </w:rPr>
        <w:t xml:space="preserve">tym także zabezpieczające wierzytelność, np. </w:t>
      </w:r>
      <w:r w:rsidR="00F86CFA">
        <w:rPr>
          <w:b/>
          <w:sz w:val="22"/>
          <w:szCs w:val="22"/>
        </w:rPr>
        <w:t>roszczenie z </w:t>
      </w:r>
      <w:r w:rsidR="00F27680" w:rsidRPr="00F86CFA">
        <w:rPr>
          <w:b/>
          <w:sz w:val="22"/>
          <w:szCs w:val="22"/>
        </w:rPr>
        <w:t>umowy poręczenia</w:t>
      </w:r>
      <w:r w:rsidR="00F27680" w:rsidRPr="00F86CFA">
        <w:rPr>
          <w:sz w:val="22"/>
          <w:szCs w:val="22"/>
        </w:rPr>
        <w:t>. (…) Cechą praw obligacyjnych o charakterze zabezpieczającym (np. poręczenia) i wymienionych ograniczonych praw rzeczowych, mających charakter praw akcesoryjnych, jest także to, że są to prawa „związane” z innym prawem - wierzytelnością, którą zabezpieczają. W konsekwencji, mogą one przysługiwać wyłącznie podmiotowi, któremu przysługuje prawo „główne”, tj. zabezpieczona wierzytelność. Skutkiem tego jest to, że prawa te mogą być przed</w:t>
      </w:r>
      <w:r w:rsidR="00D428FB" w:rsidRPr="00F86CFA">
        <w:rPr>
          <w:sz w:val="22"/>
          <w:szCs w:val="22"/>
        </w:rPr>
        <w:t>miotem jedynie łącznego obrotu;</w:t>
      </w:r>
      <w:r w:rsidR="00B54937" w:rsidRPr="00F86CFA">
        <w:rPr>
          <w:sz w:val="22"/>
          <w:szCs w:val="22"/>
        </w:rPr>
        <w:t xml:space="preserve"> </w:t>
      </w:r>
      <w:r w:rsidR="00F27680" w:rsidRPr="00F86CFA">
        <w:rPr>
          <w:sz w:val="22"/>
          <w:szCs w:val="22"/>
        </w:rPr>
        <w:t>przeniesienie prawa głównego powoduje przeniesienie również prawa związanego, ewentualnie rozerwanie więzi pomiędzy tymi prawami prowadzi do wygaśnięcia praw akcesoryjnych. Wyrazem tego na gruncie przepisów prawa zobowiązań jest art. 509 § 2 KC”</w:t>
      </w:r>
      <w:r w:rsidR="004B4C0E" w:rsidRPr="00F86CFA">
        <w:rPr>
          <w:sz w:val="22"/>
          <w:szCs w:val="22"/>
        </w:rPr>
        <w:t>.</w:t>
      </w:r>
    </w:p>
    <w:p w14:paraId="036823A3" w14:textId="77777777" w:rsidR="00A50FB6" w:rsidRPr="00F86CFA" w:rsidRDefault="00A50FB6" w:rsidP="00A95565">
      <w:pPr>
        <w:ind w:left="0" w:firstLine="0"/>
        <w:rPr>
          <w:sz w:val="22"/>
          <w:szCs w:val="22"/>
        </w:rPr>
      </w:pPr>
    </w:p>
    <w:p w14:paraId="4D2BE7E0" w14:textId="4CEB143B" w:rsidR="00A50FB6" w:rsidRPr="00F86CFA" w:rsidRDefault="00A50FB6" w:rsidP="00A95565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 xml:space="preserve">W konsekwencji należy przyjąć, że strony umowy przelewu dokonały przeniesienia na </w:t>
      </w:r>
      <w:r w:rsidR="00F26DEF" w:rsidRPr="00F86CFA">
        <w:rPr>
          <w:sz w:val="22"/>
          <w:szCs w:val="22"/>
        </w:rPr>
        <w:t>Powoda</w:t>
      </w:r>
      <w:r w:rsidR="00F86CFA">
        <w:rPr>
          <w:sz w:val="22"/>
          <w:szCs w:val="22"/>
        </w:rPr>
        <w:t>, wraz z </w:t>
      </w:r>
      <w:r w:rsidRPr="00F86CFA">
        <w:rPr>
          <w:sz w:val="22"/>
          <w:szCs w:val="22"/>
        </w:rPr>
        <w:t>wierzytelnościami wobec Nowak sp. z o.o., również wierzytelności z umowy poręczenia</w:t>
      </w:r>
      <w:r w:rsidR="004B4C0E" w:rsidRPr="00F86CFA">
        <w:rPr>
          <w:sz w:val="22"/>
          <w:szCs w:val="22"/>
        </w:rPr>
        <w:t xml:space="preserve"> </w:t>
      </w:r>
      <w:r w:rsidR="00F26DEF" w:rsidRPr="00F86CFA">
        <w:rPr>
          <w:sz w:val="22"/>
          <w:szCs w:val="22"/>
        </w:rPr>
        <w:t>przysługujące przeciwko P</w:t>
      </w:r>
      <w:r w:rsidRPr="00F86CFA">
        <w:rPr>
          <w:sz w:val="22"/>
          <w:szCs w:val="22"/>
        </w:rPr>
        <w:t xml:space="preserve">ozwanej. Z tego względu </w:t>
      </w:r>
      <w:r w:rsidR="00F26DEF" w:rsidRPr="00F86CFA">
        <w:rPr>
          <w:sz w:val="22"/>
          <w:szCs w:val="22"/>
        </w:rPr>
        <w:t>Powód</w:t>
      </w:r>
      <w:r w:rsidRPr="00F86CFA">
        <w:rPr>
          <w:sz w:val="22"/>
          <w:szCs w:val="22"/>
        </w:rPr>
        <w:t xml:space="preserve"> w</w:t>
      </w:r>
      <w:r w:rsidR="004B4C0E" w:rsidRPr="00F86CFA">
        <w:rPr>
          <w:sz w:val="22"/>
          <w:szCs w:val="22"/>
        </w:rPr>
        <w:t>stąpił w</w:t>
      </w:r>
      <w:r w:rsidRPr="00F86CFA">
        <w:rPr>
          <w:sz w:val="22"/>
          <w:szCs w:val="22"/>
        </w:rPr>
        <w:t xml:space="preserve"> stosunek wynikający z umowy poręczenia i jes</w:t>
      </w:r>
      <w:r w:rsidR="00F26DEF" w:rsidRPr="00F86CFA">
        <w:rPr>
          <w:sz w:val="22"/>
          <w:szCs w:val="22"/>
        </w:rPr>
        <w:t xml:space="preserve">t </w:t>
      </w:r>
      <w:proofErr w:type="spellStart"/>
      <w:r w:rsidR="00F26DEF" w:rsidRPr="00F86CFA">
        <w:rPr>
          <w:sz w:val="22"/>
          <w:szCs w:val="22"/>
        </w:rPr>
        <w:t>materialnoprawnie</w:t>
      </w:r>
      <w:proofErr w:type="spellEnd"/>
      <w:r w:rsidR="00F26DEF" w:rsidRPr="00F86CFA">
        <w:rPr>
          <w:sz w:val="22"/>
          <w:szCs w:val="22"/>
        </w:rPr>
        <w:t xml:space="preserve"> legitymowany</w:t>
      </w:r>
      <w:r w:rsidRPr="00F86CFA">
        <w:rPr>
          <w:sz w:val="22"/>
          <w:szCs w:val="22"/>
        </w:rPr>
        <w:t xml:space="preserve"> do dochodzenia we własnym imieniu wierzytelności</w:t>
      </w:r>
      <w:r w:rsidR="00F26DEF" w:rsidRPr="00F86CFA">
        <w:rPr>
          <w:sz w:val="22"/>
          <w:szCs w:val="22"/>
        </w:rPr>
        <w:t xml:space="preserve"> wobec P</w:t>
      </w:r>
      <w:r w:rsidRPr="00F86CFA">
        <w:rPr>
          <w:sz w:val="22"/>
          <w:szCs w:val="22"/>
        </w:rPr>
        <w:t>ozwanej. Treść umowy o współpracy, zawartej pomiędzy HB Bank</w:t>
      </w:r>
      <w:r w:rsidR="004B4C0E" w:rsidRPr="00F86CFA">
        <w:rPr>
          <w:sz w:val="22"/>
          <w:szCs w:val="22"/>
        </w:rPr>
        <w:t xml:space="preserve"> GmbH</w:t>
      </w:r>
      <w:r w:rsidRPr="00F86CFA">
        <w:rPr>
          <w:sz w:val="22"/>
          <w:szCs w:val="22"/>
        </w:rPr>
        <w:t xml:space="preserve"> a</w:t>
      </w:r>
      <w:r w:rsidR="004B4C0E" w:rsidRPr="00F86CFA">
        <w:rPr>
          <w:sz w:val="22"/>
          <w:szCs w:val="22"/>
        </w:rPr>
        <w:t> </w:t>
      </w:r>
      <w:r w:rsidR="00F26DEF" w:rsidRPr="00F86CFA">
        <w:rPr>
          <w:sz w:val="22"/>
          <w:szCs w:val="22"/>
        </w:rPr>
        <w:t>Powodem</w:t>
      </w:r>
      <w:r w:rsidRPr="00F86CFA">
        <w:rPr>
          <w:sz w:val="22"/>
          <w:szCs w:val="22"/>
        </w:rPr>
        <w:t xml:space="preserve">, wywiera natomiast skutki wyłącznie </w:t>
      </w:r>
      <w:proofErr w:type="spellStart"/>
      <w:r w:rsidRPr="00F86CFA">
        <w:rPr>
          <w:i/>
          <w:sz w:val="22"/>
          <w:szCs w:val="22"/>
        </w:rPr>
        <w:t>inter</w:t>
      </w:r>
      <w:proofErr w:type="spellEnd"/>
      <w:r w:rsidRPr="00F86CFA">
        <w:rPr>
          <w:i/>
          <w:sz w:val="22"/>
          <w:szCs w:val="22"/>
        </w:rPr>
        <w:t xml:space="preserve"> partes</w:t>
      </w:r>
      <w:r w:rsidRPr="00F86CFA">
        <w:rPr>
          <w:sz w:val="22"/>
          <w:szCs w:val="22"/>
        </w:rPr>
        <w:t xml:space="preserve"> i zawarty w niej wymóg u</w:t>
      </w:r>
      <w:r w:rsidR="00F86CFA">
        <w:rPr>
          <w:sz w:val="22"/>
          <w:szCs w:val="22"/>
        </w:rPr>
        <w:t>dzielenia pełnomocnictwa nie ma </w:t>
      </w:r>
      <w:r w:rsidRPr="00F86CFA">
        <w:rPr>
          <w:sz w:val="22"/>
          <w:szCs w:val="22"/>
        </w:rPr>
        <w:t>znaczenia dla przedmiotowej sprawy.</w:t>
      </w:r>
    </w:p>
    <w:p w14:paraId="202083EF" w14:textId="77777777" w:rsidR="00D428FB" w:rsidRPr="00F86CFA" w:rsidRDefault="00D428FB" w:rsidP="00485BD1">
      <w:pPr>
        <w:ind w:left="0" w:firstLine="0"/>
        <w:outlineLvl w:val="0"/>
        <w:rPr>
          <w:sz w:val="22"/>
          <w:szCs w:val="22"/>
        </w:rPr>
      </w:pPr>
    </w:p>
    <w:p w14:paraId="62EB21E0" w14:textId="0587BD55" w:rsidR="00210D36" w:rsidRPr="00F86CFA" w:rsidRDefault="00210D36" w:rsidP="00485BD1">
      <w:pPr>
        <w:ind w:left="0" w:firstLine="0"/>
        <w:outlineLvl w:val="0"/>
        <w:rPr>
          <w:sz w:val="22"/>
          <w:szCs w:val="22"/>
        </w:rPr>
      </w:pPr>
      <w:r w:rsidRPr="00F86CFA">
        <w:rPr>
          <w:sz w:val="22"/>
          <w:szCs w:val="22"/>
        </w:rPr>
        <w:t>W tym stanie rzeczy niniejsza apelacja jest w pełni zasadna i zasługuje na uwzględnienie.</w:t>
      </w:r>
    </w:p>
    <w:p w14:paraId="4C1599AC" w14:textId="77777777" w:rsidR="00E54D88" w:rsidRPr="00F86CFA" w:rsidRDefault="00E54D88" w:rsidP="00210D36">
      <w:pPr>
        <w:ind w:left="0" w:firstLine="0"/>
        <w:rPr>
          <w:sz w:val="22"/>
          <w:szCs w:val="22"/>
        </w:rPr>
      </w:pPr>
    </w:p>
    <w:p w14:paraId="5A3D997C" w14:textId="6BB2D3A4" w:rsidR="00210D36" w:rsidRPr="00F86CFA" w:rsidRDefault="00210D36" w:rsidP="00485BD1">
      <w:pPr>
        <w:ind w:left="0" w:firstLine="0"/>
        <w:outlineLvl w:val="0"/>
        <w:rPr>
          <w:sz w:val="22"/>
          <w:szCs w:val="22"/>
        </w:rPr>
      </w:pPr>
      <w:r w:rsidRPr="00F86CFA">
        <w:rPr>
          <w:sz w:val="22"/>
          <w:szCs w:val="22"/>
        </w:rPr>
        <w:t>Opłata sądowa została ustalona na podstawie</w:t>
      </w:r>
      <w:r w:rsidR="00DE746D" w:rsidRPr="00F86CFA">
        <w:rPr>
          <w:sz w:val="22"/>
          <w:szCs w:val="22"/>
        </w:rPr>
        <w:t xml:space="preserve"> art. 13 ust. 2 </w:t>
      </w:r>
      <w:r w:rsidR="00D428FB" w:rsidRPr="00F86CFA">
        <w:rPr>
          <w:sz w:val="22"/>
          <w:szCs w:val="22"/>
        </w:rPr>
        <w:t>u</w:t>
      </w:r>
      <w:r w:rsidR="00DE746D" w:rsidRPr="00F86CFA">
        <w:rPr>
          <w:sz w:val="22"/>
          <w:szCs w:val="22"/>
        </w:rPr>
        <w:t xml:space="preserve">stawy o </w:t>
      </w:r>
      <w:r w:rsidR="00F86CFA">
        <w:rPr>
          <w:sz w:val="22"/>
          <w:szCs w:val="22"/>
        </w:rPr>
        <w:t>kosztach sądowych w sprawach </w:t>
      </w:r>
      <w:r w:rsidR="00DE746D" w:rsidRPr="00F86CFA">
        <w:rPr>
          <w:sz w:val="22"/>
          <w:szCs w:val="22"/>
        </w:rPr>
        <w:t>cywilnych.</w:t>
      </w:r>
      <w:r w:rsidR="005320C4" w:rsidRPr="00F86CFA">
        <w:rPr>
          <w:sz w:val="22"/>
          <w:szCs w:val="22"/>
        </w:rPr>
        <w:t xml:space="preserve"> </w:t>
      </w:r>
    </w:p>
    <w:p w14:paraId="0DDCD076" w14:textId="77777777" w:rsidR="00D428FB" w:rsidRPr="00F86CFA" w:rsidRDefault="00D428FB" w:rsidP="00F0688E">
      <w:pPr>
        <w:ind w:left="0" w:firstLine="0"/>
        <w:rPr>
          <w:sz w:val="22"/>
          <w:szCs w:val="22"/>
        </w:rPr>
      </w:pPr>
    </w:p>
    <w:p w14:paraId="59C512AF" w14:textId="1B88B5EF" w:rsidR="00D84027" w:rsidRPr="00F86CFA" w:rsidRDefault="00D84027" w:rsidP="00F0688E">
      <w:pPr>
        <w:ind w:left="0" w:firstLine="0"/>
        <w:rPr>
          <w:sz w:val="22"/>
          <w:szCs w:val="22"/>
        </w:rPr>
      </w:pPr>
      <w:r w:rsidRPr="00F86CFA">
        <w:rPr>
          <w:sz w:val="22"/>
          <w:szCs w:val="22"/>
        </w:rPr>
        <w:t>Załączniki:</w:t>
      </w:r>
    </w:p>
    <w:p w14:paraId="66B852EF" w14:textId="262F4EEA" w:rsidR="00D84027" w:rsidRDefault="00D84027" w:rsidP="00D8402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>Pełnomocnictw</w:t>
      </w:r>
      <w:r w:rsidR="00CD1A50" w:rsidRPr="00F86CFA">
        <w:rPr>
          <w:rFonts w:ascii="Times New Roman" w:hAnsi="Times New Roman"/>
        </w:rPr>
        <w:t>a</w:t>
      </w:r>
      <w:r w:rsidRPr="00F86CFA">
        <w:rPr>
          <w:rFonts w:ascii="Times New Roman" w:hAnsi="Times New Roman"/>
        </w:rPr>
        <w:t xml:space="preserve"> wraz z dowodem uiszczenia opłaty skarbowej</w:t>
      </w:r>
    </w:p>
    <w:p w14:paraId="2A8212F1" w14:textId="4CBB4C83" w:rsidR="005C50B0" w:rsidRPr="00F86CFA" w:rsidRDefault="005C50B0" w:rsidP="00D8402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Odpis zupełny z rejestru przedsiębiorców KRS</w:t>
      </w:r>
    </w:p>
    <w:p w14:paraId="2A5A83D9" w14:textId="309E8825" w:rsidR="00D84027" w:rsidRPr="00F86CFA" w:rsidRDefault="00D84027" w:rsidP="00D8402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>Potwierdzenie uiszczenia opłaty</w:t>
      </w:r>
      <w:r w:rsidR="00210D36" w:rsidRPr="00F86CFA">
        <w:rPr>
          <w:rFonts w:ascii="Times New Roman" w:hAnsi="Times New Roman"/>
        </w:rPr>
        <w:t xml:space="preserve"> sądowej</w:t>
      </w:r>
      <w:r w:rsidRPr="00F86CFA">
        <w:rPr>
          <w:rFonts w:ascii="Times New Roman" w:hAnsi="Times New Roman"/>
        </w:rPr>
        <w:t xml:space="preserve"> od apelacji</w:t>
      </w:r>
    </w:p>
    <w:p w14:paraId="1D082BC8" w14:textId="66231F54" w:rsidR="00EA0D18" w:rsidRDefault="00B54937" w:rsidP="00EA0D1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86CFA">
        <w:rPr>
          <w:rFonts w:ascii="Times New Roman" w:hAnsi="Times New Roman"/>
        </w:rPr>
        <w:t>Odpis apelacji wraz z załącznikami.</w:t>
      </w:r>
    </w:p>
    <w:p w14:paraId="42CC315A" w14:textId="77777777" w:rsidR="00EA0D18" w:rsidRDefault="00EA0D18" w:rsidP="005C50B0">
      <w:pPr>
        <w:ind w:left="0" w:firstLine="0"/>
      </w:pPr>
    </w:p>
    <w:p w14:paraId="05F11B1C" w14:textId="77777777" w:rsidR="005C50B0" w:rsidRPr="005A6687" w:rsidRDefault="005C50B0" w:rsidP="005C50B0">
      <w:pPr>
        <w:ind w:left="0" w:firstLine="5812"/>
        <w:rPr>
          <w:i/>
          <w:sz w:val="22"/>
          <w:szCs w:val="22"/>
        </w:rPr>
      </w:pPr>
      <w:r w:rsidRPr="005A6687">
        <w:rPr>
          <w:i/>
          <w:sz w:val="22"/>
          <w:szCs w:val="22"/>
        </w:rPr>
        <w:t>(-) r.pr. Magdalena Ossowska</w:t>
      </w:r>
    </w:p>
    <w:p w14:paraId="0DA9C5A9" w14:textId="77777777" w:rsidR="005C50B0" w:rsidRPr="005A6687" w:rsidRDefault="005C50B0" w:rsidP="005C50B0">
      <w:pPr>
        <w:ind w:left="0" w:firstLine="5812"/>
        <w:rPr>
          <w:i/>
          <w:sz w:val="22"/>
          <w:szCs w:val="22"/>
        </w:rPr>
      </w:pPr>
      <w:r w:rsidRPr="005A6687">
        <w:rPr>
          <w:i/>
          <w:sz w:val="22"/>
          <w:szCs w:val="22"/>
        </w:rPr>
        <w:t>(-) adw. Paweł Zabielski</w:t>
      </w:r>
    </w:p>
    <w:p w14:paraId="2E8E105B" w14:textId="48730F7C" w:rsidR="00EA0D18" w:rsidRPr="005C50B0" w:rsidRDefault="005C50B0" w:rsidP="005C50B0">
      <w:pPr>
        <w:ind w:left="0" w:firstLine="5812"/>
        <w:rPr>
          <w:i/>
          <w:sz w:val="22"/>
          <w:szCs w:val="22"/>
        </w:rPr>
      </w:pPr>
      <w:r w:rsidRPr="005A6687">
        <w:rPr>
          <w:i/>
          <w:sz w:val="22"/>
          <w:szCs w:val="22"/>
        </w:rPr>
        <w:t>(-) adw. Agnieszka Warsewicz</w:t>
      </w:r>
    </w:p>
    <w:p w14:paraId="28BBD664" w14:textId="67EE8CFB" w:rsidR="005C50B0" w:rsidRDefault="005C50B0" w:rsidP="005C50B0">
      <w:pPr>
        <w:ind w:left="5670" w:firstLine="702"/>
        <w:jc w:val="left"/>
      </w:pPr>
      <w:r>
        <w:br w:type="page"/>
      </w:r>
    </w:p>
    <w:p w14:paraId="2AD26F2F" w14:textId="77777777" w:rsidR="005C50B0" w:rsidRDefault="005C50B0" w:rsidP="005C50B0">
      <w:pPr>
        <w:jc w:val="right"/>
      </w:pPr>
      <w:r>
        <w:lastRenderedPageBreak/>
        <w:t>Warszawa, 20 grudnia 2019 r.</w:t>
      </w:r>
    </w:p>
    <w:p w14:paraId="660035D0" w14:textId="77777777" w:rsidR="005C50B0" w:rsidRDefault="005C50B0" w:rsidP="005C50B0"/>
    <w:p w14:paraId="311D614D" w14:textId="77777777" w:rsidR="005C50B0" w:rsidRDefault="005C50B0" w:rsidP="005C50B0"/>
    <w:p w14:paraId="4F2AA0A9" w14:textId="77777777" w:rsidR="005C50B0" w:rsidRPr="00440E14" w:rsidRDefault="005C50B0" w:rsidP="005C50B0">
      <w:pPr>
        <w:jc w:val="center"/>
        <w:rPr>
          <w:b/>
        </w:rPr>
      </w:pPr>
      <w:r w:rsidRPr="00440E14">
        <w:rPr>
          <w:b/>
        </w:rPr>
        <w:t>PEŁNOMOCNICTWO PROCESOWE</w:t>
      </w:r>
    </w:p>
    <w:p w14:paraId="31625D7F" w14:textId="77777777" w:rsidR="005C50B0" w:rsidRPr="00440E14" w:rsidRDefault="005C50B0" w:rsidP="005C50B0">
      <w:pPr>
        <w:jc w:val="center"/>
      </w:pPr>
    </w:p>
    <w:p w14:paraId="25A98C68" w14:textId="1169D6C1" w:rsidR="005C50B0" w:rsidRPr="007530CF" w:rsidRDefault="005C50B0" w:rsidP="005C50B0">
      <w:pPr>
        <w:ind w:firstLine="567"/>
      </w:pPr>
      <w:r w:rsidRPr="00440E14">
        <w:t xml:space="preserve">Ja niżej podpisany Jerzy Tomaszewski, nr PESEL: 76010824637, działając w charakterze osoby upoważnionej do zastępowania w oddziale (Dyrektora Oddziału w Polsce) przedsiębiorcy zagranicznego </w:t>
      </w:r>
      <w:proofErr w:type="spellStart"/>
      <w:r w:rsidRPr="00440E14">
        <w:t>Männermode-Großhandelsgesellschaft</w:t>
      </w:r>
      <w:proofErr w:type="spellEnd"/>
      <w:r w:rsidRPr="00440E14">
        <w:t xml:space="preserve"> mit </w:t>
      </w:r>
      <w:proofErr w:type="spellStart"/>
      <w:r w:rsidRPr="00440E14">
        <w:t>beschränkter</w:t>
      </w:r>
      <w:proofErr w:type="spellEnd"/>
      <w:r w:rsidRPr="00440E14">
        <w:t xml:space="preserve"> </w:t>
      </w:r>
      <w:proofErr w:type="spellStart"/>
      <w:r w:rsidRPr="00440E14">
        <w:t>Haftung</w:t>
      </w:r>
      <w:proofErr w:type="spellEnd"/>
      <w:r w:rsidRPr="00440E14">
        <w:t xml:space="preserve"> (spółki z o.o. prawa niemieckiego, dalej: </w:t>
      </w:r>
      <w:r w:rsidRPr="00440E14">
        <w:rPr>
          <w:b/>
        </w:rPr>
        <w:t>“MM-</w:t>
      </w:r>
      <w:proofErr w:type="spellStart"/>
      <w:r w:rsidRPr="00440E14">
        <w:rPr>
          <w:b/>
        </w:rPr>
        <w:t>Großhandel</w:t>
      </w:r>
      <w:proofErr w:type="spellEnd"/>
      <w:r w:rsidRPr="00440E14">
        <w:rPr>
          <w:b/>
        </w:rPr>
        <w:t>”</w:t>
      </w:r>
      <w:r w:rsidRPr="00440E14">
        <w:t>), z siedzibą Oddziału w Warszawie (</w:t>
      </w:r>
      <w:r>
        <w:t>02-091</w:t>
      </w:r>
      <w:r w:rsidRPr="00440E14">
        <w:t xml:space="preserve">), </w:t>
      </w:r>
      <w:r w:rsidRPr="000A0B8C">
        <w:t xml:space="preserve">ul. </w:t>
      </w:r>
      <w:r>
        <w:t xml:space="preserve">Żwirki i Wigury 61, udzielam pełnomocnictwa procesowego </w:t>
      </w:r>
      <w:r w:rsidRPr="00EC6B49">
        <w:rPr>
          <w:b/>
        </w:rPr>
        <w:t xml:space="preserve">radcy prawnemu </w:t>
      </w:r>
      <w:r>
        <w:rPr>
          <w:b/>
        </w:rPr>
        <w:t>Magdalenie Ossowskiej</w:t>
      </w:r>
      <w:r>
        <w:t xml:space="preserve">, prowadzącej Kancelarię Ossowska Warsewicz Zabielski Adwokaci i Radcowie Prawni sp. p. w Warszawie (kod pocztowy: 00-002) przy ul. Świętokrzyskiej 20 lok. 5, </w:t>
      </w:r>
      <w:r w:rsidRPr="007530CF">
        <w:t>do zastępowania MM-</w:t>
      </w:r>
      <w:proofErr w:type="spellStart"/>
      <w:r w:rsidRPr="007530CF">
        <w:t>Großhandel</w:t>
      </w:r>
      <w:proofErr w:type="spellEnd"/>
      <w:r w:rsidRPr="007530CF">
        <w:t xml:space="preserve"> w sprawie przeciwko Barbarze Nowak o zapłatę należności z umowy poręczenia</w:t>
      </w:r>
      <w:r>
        <w:t xml:space="preserve">, toczącej się przed Sądem Okręgowym w Warszawie pod sygn. akt </w:t>
      </w:r>
      <w:r w:rsidRPr="005C50B0">
        <w:t>XXV C 2440/18</w:t>
      </w:r>
      <w:r w:rsidRPr="007530CF">
        <w:t xml:space="preserve"> – przed wszystkimi organami administracji publicznej oraz sądami powszechnymi i administracyjnymi wszystkich instancji, a także przed Sądem Najwyższym.</w:t>
      </w:r>
    </w:p>
    <w:p w14:paraId="747C3F41" w14:textId="77777777" w:rsidR="005C50B0" w:rsidRDefault="005C50B0" w:rsidP="005C50B0">
      <w:pPr>
        <w:ind w:firstLine="567"/>
      </w:pPr>
    </w:p>
    <w:p w14:paraId="5D9399C5" w14:textId="77777777" w:rsidR="005C50B0" w:rsidRDefault="005C50B0" w:rsidP="005C50B0">
      <w:pPr>
        <w:ind w:firstLine="567"/>
      </w:pPr>
    </w:p>
    <w:p w14:paraId="027F0FD5" w14:textId="77777777" w:rsidR="005C50B0" w:rsidRDefault="005C50B0" w:rsidP="005C50B0">
      <w:pPr>
        <w:ind w:firstLine="567"/>
      </w:pPr>
      <w:r>
        <w:t>Upoważnienie obejmuje prawo ustanawiania dalszych pełnomocników.</w:t>
      </w:r>
    </w:p>
    <w:p w14:paraId="5F8F1C1E" w14:textId="77777777" w:rsidR="005C50B0" w:rsidRDefault="005C50B0" w:rsidP="005C50B0"/>
    <w:p w14:paraId="10369E85" w14:textId="77777777" w:rsidR="005C50B0" w:rsidRDefault="005C50B0" w:rsidP="005C50B0"/>
    <w:p w14:paraId="1A6C02D9" w14:textId="77777777" w:rsidR="005C50B0" w:rsidRDefault="005C50B0" w:rsidP="005C50B0"/>
    <w:p w14:paraId="3CB610F4" w14:textId="77777777" w:rsidR="005C50B0" w:rsidRDefault="005C50B0" w:rsidP="005C50B0">
      <w:pPr>
        <w:ind w:firstLine="567"/>
        <w:jc w:val="right"/>
      </w:pPr>
      <w:r w:rsidRPr="005916E3">
        <w:rPr>
          <w:i/>
        </w:rPr>
        <w:t>(-) Jerzy Tomaszewski</w:t>
      </w:r>
    </w:p>
    <w:p w14:paraId="2FB53D7A" w14:textId="77777777" w:rsidR="005C50B0" w:rsidRDefault="005C50B0" w:rsidP="005C50B0">
      <w:r>
        <w:br w:type="page"/>
      </w:r>
    </w:p>
    <w:p w14:paraId="57044D2E" w14:textId="77777777" w:rsidR="005C50B0" w:rsidRDefault="005C50B0" w:rsidP="005C50B0">
      <w:pPr>
        <w:jc w:val="right"/>
      </w:pPr>
      <w:r>
        <w:lastRenderedPageBreak/>
        <w:t>Warszawa, 20 grudnia 2019 r.</w:t>
      </w:r>
    </w:p>
    <w:p w14:paraId="5B11D213" w14:textId="77777777" w:rsidR="005C50B0" w:rsidRDefault="005C50B0" w:rsidP="005C50B0"/>
    <w:p w14:paraId="55B5001D" w14:textId="77777777" w:rsidR="005C50B0" w:rsidRDefault="005C50B0" w:rsidP="005C50B0"/>
    <w:p w14:paraId="1BD230E1" w14:textId="77777777" w:rsidR="005C50B0" w:rsidRPr="00440E14" w:rsidRDefault="005C50B0" w:rsidP="005C50B0">
      <w:pPr>
        <w:jc w:val="center"/>
        <w:rPr>
          <w:b/>
        </w:rPr>
      </w:pPr>
      <w:r w:rsidRPr="00440E14">
        <w:rPr>
          <w:b/>
        </w:rPr>
        <w:t>PEŁNOMOCNICTWO PROCESOWE</w:t>
      </w:r>
    </w:p>
    <w:p w14:paraId="69A9E122" w14:textId="77777777" w:rsidR="005C50B0" w:rsidRPr="00440E14" w:rsidRDefault="005C50B0" w:rsidP="005C50B0">
      <w:pPr>
        <w:jc w:val="center"/>
      </w:pPr>
    </w:p>
    <w:p w14:paraId="352EB470" w14:textId="42F61D62" w:rsidR="005C50B0" w:rsidRPr="007530CF" w:rsidRDefault="005C50B0" w:rsidP="005C50B0">
      <w:pPr>
        <w:ind w:firstLine="567"/>
      </w:pPr>
      <w:r w:rsidRPr="00440E14">
        <w:t xml:space="preserve">Ja niżej podpisany Jerzy Tomaszewski, nr PESEL: 76010824637, działając w charakterze osoby upoważnionej do zastępowania w oddziale (Dyrektora Oddziału w Polsce) przedsiębiorcy zagranicznego </w:t>
      </w:r>
      <w:proofErr w:type="spellStart"/>
      <w:r w:rsidRPr="00440E14">
        <w:t>Männermode-Großhandelsgesellschaft</w:t>
      </w:r>
      <w:proofErr w:type="spellEnd"/>
      <w:r w:rsidRPr="00440E14">
        <w:t xml:space="preserve"> mit </w:t>
      </w:r>
      <w:proofErr w:type="spellStart"/>
      <w:r w:rsidRPr="00440E14">
        <w:t>beschränkter</w:t>
      </w:r>
      <w:proofErr w:type="spellEnd"/>
      <w:r w:rsidRPr="00440E14">
        <w:t xml:space="preserve"> </w:t>
      </w:r>
      <w:proofErr w:type="spellStart"/>
      <w:r w:rsidRPr="00440E14">
        <w:t>Haftung</w:t>
      </w:r>
      <w:proofErr w:type="spellEnd"/>
      <w:r w:rsidRPr="00440E14">
        <w:t xml:space="preserve"> (spółki z o.o. prawa niemieckiego, dalej: </w:t>
      </w:r>
      <w:r w:rsidRPr="00440E14">
        <w:rPr>
          <w:b/>
        </w:rPr>
        <w:t>“MM-</w:t>
      </w:r>
      <w:proofErr w:type="spellStart"/>
      <w:r w:rsidRPr="00440E14">
        <w:rPr>
          <w:b/>
        </w:rPr>
        <w:t>Großhandel</w:t>
      </w:r>
      <w:proofErr w:type="spellEnd"/>
      <w:r w:rsidRPr="00440E14">
        <w:rPr>
          <w:b/>
        </w:rPr>
        <w:t>”</w:t>
      </w:r>
      <w:r w:rsidRPr="00440E14">
        <w:t>), z siedzibą Oddziału w Warszawie (</w:t>
      </w:r>
      <w:r>
        <w:t>02-091</w:t>
      </w:r>
      <w:r w:rsidRPr="00440E14">
        <w:t xml:space="preserve">), </w:t>
      </w:r>
      <w:r w:rsidRPr="000A0B8C">
        <w:t xml:space="preserve">ul. </w:t>
      </w:r>
      <w:r>
        <w:t xml:space="preserve">Żwirki i Wigury 61, udzielam pełnomocnictwa procesowego </w:t>
      </w:r>
      <w:r>
        <w:rPr>
          <w:b/>
        </w:rPr>
        <w:t>adwokatowi</w:t>
      </w:r>
      <w:r w:rsidRPr="00EC6B49">
        <w:rPr>
          <w:b/>
        </w:rPr>
        <w:t xml:space="preserve"> </w:t>
      </w:r>
      <w:r>
        <w:rPr>
          <w:b/>
        </w:rPr>
        <w:t>Pawłowi Zabielskiemu</w:t>
      </w:r>
      <w:r>
        <w:t xml:space="preserve">, prowadzącemu Kancelarię Ossowska Warsewicz Zabielski Adwokaci i Radcowie Prawni sp. p. w Warszawie (kod pocztowy: 00-002) przy ul. Świętokrzyskiej 20 lok. 5, </w:t>
      </w:r>
      <w:r w:rsidRPr="007530CF">
        <w:t>do zastępowania MM-</w:t>
      </w:r>
      <w:proofErr w:type="spellStart"/>
      <w:r w:rsidRPr="007530CF">
        <w:t>Großhandel</w:t>
      </w:r>
      <w:proofErr w:type="spellEnd"/>
      <w:r w:rsidRPr="007530CF">
        <w:t xml:space="preserve"> w sprawie przeciwko Barbarze Nowak o zapłat</w:t>
      </w:r>
      <w:r>
        <w:t>ę należności z umowy poręczenia,</w:t>
      </w:r>
      <w:r w:rsidRPr="005C50B0">
        <w:t xml:space="preserve"> </w:t>
      </w:r>
      <w:r>
        <w:t xml:space="preserve">toczącej się przed Sądem Okręgowym w Warszawie pod sygn. akt </w:t>
      </w:r>
      <w:r w:rsidRPr="005C50B0">
        <w:t>XXV C 2440/18</w:t>
      </w:r>
      <w:r>
        <w:t xml:space="preserve"> </w:t>
      </w:r>
      <w:r w:rsidRPr="007530CF">
        <w:t>– przed wszystkimi organami administracji publicznej oraz sądami powszechnymi i administracyjnymi wszystkich instancji, a także przed Sądem Najwyższym.</w:t>
      </w:r>
    </w:p>
    <w:p w14:paraId="5BCCF36B" w14:textId="77777777" w:rsidR="005C50B0" w:rsidRDefault="005C50B0" w:rsidP="005C50B0">
      <w:pPr>
        <w:ind w:firstLine="567"/>
      </w:pPr>
    </w:p>
    <w:p w14:paraId="60A33BB1" w14:textId="77777777" w:rsidR="005C50B0" w:rsidRDefault="005C50B0" w:rsidP="005C50B0">
      <w:pPr>
        <w:ind w:firstLine="567"/>
      </w:pPr>
    </w:p>
    <w:p w14:paraId="7135DDC0" w14:textId="77777777" w:rsidR="005C50B0" w:rsidRDefault="005C50B0" w:rsidP="005C50B0">
      <w:pPr>
        <w:ind w:firstLine="567"/>
      </w:pPr>
      <w:r>
        <w:t>Upoważnienie obejmuje prawo ustanawiania dalszych pełnomocników.</w:t>
      </w:r>
    </w:p>
    <w:p w14:paraId="3A88F088" w14:textId="77777777" w:rsidR="005C50B0" w:rsidRDefault="005C50B0" w:rsidP="005C50B0"/>
    <w:p w14:paraId="32806CE5" w14:textId="77777777" w:rsidR="005C50B0" w:rsidRDefault="005C50B0" w:rsidP="005C50B0"/>
    <w:p w14:paraId="03DE5EB8" w14:textId="77777777" w:rsidR="005C50B0" w:rsidRDefault="005C50B0" w:rsidP="005C50B0"/>
    <w:p w14:paraId="04E45DF0" w14:textId="77777777" w:rsidR="005C50B0" w:rsidRDefault="005C50B0" w:rsidP="005C50B0">
      <w:pPr>
        <w:ind w:firstLine="567"/>
        <w:jc w:val="right"/>
      </w:pPr>
      <w:r w:rsidRPr="005916E3">
        <w:rPr>
          <w:i/>
        </w:rPr>
        <w:t>(-) Jerzy Tomaszewski</w:t>
      </w:r>
    </w:p>
    <w:p w14:paraId="47F4704B" w14:textId="77777777" w:rsidR="005C50B0" w:rsidRDefault="005C50B0" w:rsidP="005C50B0">
      <w:r>
        <w:br w:type="page"/>
      </w:r>
    </w:p>
    <w:p w14:paraId="0784B841" w14:textId="77777777" w:rsidR="005C50B0" w:rsidRDefault="005C50B0" w:rsidP="005C50B0">
      <w:pPr>
        <w:jc w:val="right"/>
      </w:pPr>
      <w:r>
        <w:lastRenderedPageBreak/>
        <w:t>Warszawa, 20 grudnia 2019 r.</w:t>
      </w:r>
    </w:p>
    <w:p w14:paraId="099D4246" w14:textId="77777777" w:rsidR="005C50B0" w:rsidRDefault="005C50B0" w:rsidP="005C50B0"/>
    <w:p w14:paraId="710434CB" w14:textId="77777777" w:rsidR="005C50B0" w:rsidRDefault="005C50B0" w:rsidP="005C50B0"/>
    <w:p w14:paraId="496A46E2" w14:textId="77777777" w:rsidR="005C50B0" w:rsidRPr="00440E14" w:rsidRDefault="005C50B0" w:rsidP="005C50B0">
      <w:pPr>
        <w:jc w:val="center"/>
        <w:rPr>
          <w:b/>
        </w:rPr>
      </w:pPr>
      <w:r w:rsidRPr="00440E14">
        <w:rPr>
          <w:b/>
        </w:rPr>
        <w:t>PEŁNOMOCNICTWO PROCESOWE</w:t>
      </w:r>
    </w:p>
    <w:p w14:paraId="0D2E1EC0" w14:textId="77777777" w:rsidR="005C50B0" w:rsidRPr="00440E14" w:rsidRDefault="005C50B0" w:rsidP="005C50B0">
      <w:pPr>
        <w:jc w:val="center"/>
      </w:pPr>
    </w:p>
    <w:p w14:paraId="3D5E6CA3" w14:textId="7714419C" w:rsidR="005C50B0" w:rsidRPr="007530CF" w:rsidRDefault="005C50B0" w:rsidP="005C50B0">
      <w:pPr>
        <w:ind w:firstLine="567"/>
      </w:pPr>
      <w:r w:rsidRPr="00440E14">
        <w:t xml:space="preserve">Ja niżej podpisany Jerzy Tomaszewski, nr PESEL: 76010824637, działając w charakterze osoby upoważnionej do zastępowania w oddziale (Dyrektora Oddziału w Polsce) przedsiębiorcy zagranicznego </w:t>
      </w:r>
      <w:proofErr w:type="spellStart"/>
      <w:r w:rsidRPr="00440E14">
        <w:t>Männermode-Großhandelsgesellschaft</w:t>
      </w:r>
      <w:proofErr w:type="spellEnd"/>
      <w:r w:rsidRPr="00440E14">
        <w:t xml:space="preserve"> mit </w:t>
      </w:r>
      <w:proofErr w:type="spellStart"/>
      <w:r w:rsidRPr="00440E14">
        <w:t>beschränkter</w:t>
      </w:r>
      <w:proofErr w:type="spellEnd"/>
      <w:r w:rsidRPr="00440E14">
        <w:t xml:space="preserve"> </w:t>
      </w:r>
      <w:proofErr w:type="spellStart"/>
      <w:r w:rsidRPr="00440E14">
        <w:t>Haftung</w:t>
      </w:r>
      <w:proofErr w:type="spellEnd"/>
      <w:r w:rsidRPr="00440E14">
        <w:t xml:space="preserve"> (spółki z o.o. prawa niemieckiego, dalej: </w:t>
      </w:r>
      <w:r w:rsidRPr="00440E14">
        <w:rPr>
          <w:b/>
        </w:rPr>
        <w:t>“MM-</w:t>
      </w:r>
      <w:proofErr w:type="spellStart"/>
      <w:r w:rsidRPr="00440E14">
        <w:rPr>
          <w:b/>
        </w:rPr>
        <w:t>Großhandel</w:t>
      </w:r>
      <w:proofErr w:type="spellEnd"/>
      <w:r w:rsidRPr="00440E14">
        <w:rPr>
          <w:b/>
        </w:rPr>
        <w:t>”</w:t>
      </w:r>
      <w:r w:rsidRPr="00440E14">
        <w:t>), z siedzibą Oddziału w Warszawie (</w:t>
      </w:r>
      <w:r>
        <w:t>02-091</w:t>
      </w:r>
      <w:r w:rsidRPr="00440E14">
        <w:t xml:space="preserve">), </w:t>
      </w:r>
      <w:r w:rsidRPr="000A0B8C">
        <w:t xml:space="preserve">ul. </w:t>
      </w:r>
      <w:r>
        <w:t xml:space="preserve">Żwirki i Wigury 61, udzielam pełnomocnictwa procesowego </w:t>
      </w:r>
      <w:r>
        <w:rPr>
          <w:b/>
        </w:rPr>
        <w:t>adwokat Agnieszce Warsewicz</w:t>
      </w:r>
      <w:r>
        <w:t xml:space="preserve">, prowadzącej Kancelarię Ossowska Warsewicz Zabielski Adwokaci i Radcowie Prawni sp. p. w Warszawie (kod pocztowy: 00-002) przy ul. Świętokrzyskiej 20 lok. 5, </w:t>
      </w:r>
      <w:r w:rsidRPr="007530CF">
        <w:t>do zastępowania MM-</w:t>
      </w:r>
      <w:proofErr w:type="spellStart"/>
      <w:r w:rsidRPr="007530CF">
        <w:t>Großhandel</w:t>
      </w:r>
      <w:proofErr w:type="spellEnd"/>
      <w:r w:rsidRPr="007530CF">
        <w:t xml:space="preserve"> w sprawie przeciwko Barbarze Nowak o zapłatę należności z umowy poręczenia</w:t>
      </w:r>
      <w:r>
        <w:t xml:space="preserve">, </w:t>
      </w:r>
      <w:r>
        <w:t xml:space="preserve">toczącej się przed Sądem Okręgowym w Warszawie pod sygn. akt </w:t>
      </w:r>
      <w:r w:rsidRPr="005C50B0">
        <w:t>XXV C 2440/18</w:t>
      </w:r>
      <w:bookmarkStart w:id="0" w:name="_GoBack"/>
      <w:bookmarkEnd w:id="0"/>
      <w:r w:rsidRPr="007530CF">
        <w:t xml:space="preserve"> – przed wszystkimi organami administracji publicznej oraz sądami powszechnymi i administracyjnymi wszystkich instancji, a także przed Sądem Najwyższym.</w:t>
      </w:r>
    </w:p>
    <w:p w14:paraId="6A7A8E97" w14:textId="77777777" w:rsidR="005C50B0" w:rsidRDefault="005C50B0" w:rsidP="005C50B0">
      <w:pPr>
        <w:ind w:firstLine="567"/>
      </w:pPr>
    </w:p>
    <w:p w14:paraId="7ABD2DD7" w14:textId="77777777" w:rsidR="005C50B0" w:rsidRDefault="005C50B0" w:rsidP="005C50B0">
      <w:pPr>
        <w:ind w:firstLine="567"/>
      </w:pPr>
    </w:p>
    <w:p w14:paraId="46947C07" w14:textId="77777777" w:rsidR="005C50B0" w:rsidRDefault="005C50B0" w:rsidP="005C50B0">
      <w:pPr>
        <w:ind w:firstLine="567"/>
      </w:pPr>
      <w:r>
        <w:t>Upoważnienie obejmuje prawo ustanawiania dalszych pełnomocników.</w:t>
      </w:r>
    </w:p>
    <w:p w14:paraId="4966FA2D" w14:textId="77777777" w:rsidR="005C50B0" w:rsidRDefault="005C50B0" w:rsidP="005C50B0"/>
    <w:p w14:paraId="0E985DD4" w14:textId="77777777" w:rsidR="005C50B0" w:rsidRDefault="005C50B0" w:rsidP="005C50B0"/>
    <w:p w14:paraId="06543A74" w14:textId="77777777" w:rsidR="005C50B0" w:rsidRDefault="005C50B0" w:rsidP="005C50B0"/>
    <w:p w14:paraId="68531C9A" w14:textId="77777777" w:rsidR="005C50B0" w:rsidRDefault="005C50B0" w:rsidP="005C50B0">
      <w:pPr>
        <w:ind w:firstLine="567"/>
        <w:jc w:val="right"/>
      </w:pPr>
      <w:r w:rsidRPr="005916E3">
        <w:rPr>
          <w:i/>
        </w:rPr>
        <w:t>(-) Jerzy Tomaszewski</w:t>
      </w:r>
    </w:p>
    <w:p w14:paraId="577D1D14" w14:textId="77777777" w:rsidR="005C50B0" w:rsidRDefault="005C50B0" w:rsidP="005C50B0"/>
    <w:p w14:paraId="75D18000" w14:textId="77777777" w:rsidR="005C50B0" w:rsidRDefault="005C50B0" w:rsidP="005C50B0">
      <w:r>
        <w:br w:type="page"/>
      </w:r>
    </w:p>
    <w:p w14:paraId="012863E2" w14:textId="77777777" w:rsidR="005C50B0" w:rsidRDefault="005C50B0" w:rsidP="005C50B0">
      <w:pPr>
        <w:rPr>
          <w:sz w:val="22"/>
          <w:szCs w:val="22"/>
        </w:rPr>
      </w:pPr>
      <w:r w:rsidRPr="00DE5249">
        <w:rPr>
          <w:sz w:val="22"/>
          <w:szCs w:val="22"/>
        </w:rPr>
        <w:lastRenderedPageBreak/>
        <w:t>W tym miejscu do apelacji dołączono następujące dokumenty:</w:t>
      </w:r>
    </w:p>
    <w:p w14:paraId="058C8D87" w14:textId="77777777" w:rsidR="005C50B0" w:rsidRPr="00DE5249" w:rsidRDefault="005C50B0" w:rsidP="005C50B0">
      <w:pPr>
        <w:rPr>
          <w:sz w:val="22"/>
          <w:szCs w:val="22"/>
        </w:rPr>
      </w:pPr>
    </w:p>
    <w:p w14:paraId="7C1E1EE6" w14:textId="77777777" w:rsidR="005C50B0" w:rsidRPr="0032756E" w:rsidRDefault="005C50B0" w:rsidP="005C50B0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Potwierdzenie uiszczenia opłaty skarbowej od pełnomocnictwa w łącznej wysokości 51 zł na rachunek bankowy Urzędu Dzielnicy Wola m.st. Warszawy.</w:t>
      </w:r>
    </w:p>
    <w:p w14:paraId="2A94655C" w14:textId="77777777" w:rsidR="005C50B0" w:rsidRDefault="005C50B0" w:rsidP="005C50B0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DE5249">
        <w:rPr>
          <w:rFonts w:ascii="Times New Roman" w:hAnsi="Times New Roman"/>
        </w:rPr>
        <w:t xml:space="preserve">Odpis pełny z rejestru przedsiębiorców KRS dla następującego podmiotu: oddział zagranicznego przedsiębiorcy </w:t>
      </w:r>
      <w:proofErr w:type="spellStart"/>
      <w:r w:rsidRPr="00DE5249">
        <w:rPr>
          <w:rFonts w:ascii="Times New Roman" w:hAnsi="Times New Roman"/>
        </w:rPr>
        <w:t>Männermode-Großhandelsgesellschaft</w:t>
      </w:r>
      <w:proofErr w:type="spellEnd"/>
      <w:r w:rsidRPr="00DE5249">
        <w:rPr>
          <w:rFonts w:ascii="Times New Roman" w:hAnsi="Times New Roman"/>
        </w:rPr>
        <w:t xml:space="preserve"> mit </w:t>
      </w:r>
      <w:proofErr w:type="spellStart"/>
      <w:r w:rsidRPr="00DE5249">
        <w:rPr>
          <w:rFonts w:ascii="Times New Roman" w:hAnsi="Times New Roman"/>
        </w:rPr>
        <w:t>beschränkter</w:t>
      </w:r>
      <w:proofErr w:type="spellEnd"/>
      <w:r w:rsidRPr="00DE5249">
        <w:rPr>
          <w:rFonts w:ascii="Times New Roman" w:hAnsi="Times New Roman"/>
        </w:rPr>
        <w:t xml:space="preserve"> </w:t>
      </w:r>
      <w:proofErr w:type="spellStart"/>
      <w:r w:rsidRPr="00DE5249">
        <w:rPr>
          <w:rFonts w:ascii="Times New Roman" w:hAnsi="Times New Roman"/>
        </w:rPr>
        <w:t>Haftung</w:t>
      </w:r>
      <w:proofErr w:type="spellEnd"/>
      <w:r w:rsidRPr="00DE5249">
        <w:rPr>
          <w:rFonts w:ascii="Times New Roman" w:hAnsi="Times New Roman"/>
        </w:rPr>
        <w:t xml:space="preserve"> (Spółka z ograniczoną odpowiedzialnością prawa niemieckiego), reprezentowana przez jedynego zarządzającego (</w:t>
      </w:r>
      <w:proofErr w:type="spellStart"/>
      <w:r w:rsidRPr="00DE5249">
        <w:rPr>
          <w:rFonts w:ascii="Times New Roman" w:hAnsi="Times New Roman"/>
        </w:rPr>
        <w:t>Geschäftsführer</w:t>
      </w:r>
      <w:proofErr w:type="spellEnd"/>
      <w:r w:rsidRPr="00DE5249">
        <w:rPr>
          <w:rFonts w:ascii="Times New Roman" w:hAnsi="Times New Roman"/>
        </w:rPr>
        <w:t xml:space="preserve"> – odpowiednik polskiego Członka Zarządu) w osobie Helgi Müller, osobą reprezentującą przedsiębiorcę zagranicznego w oddziale jest Jerzy Tomaszewski, PESEL 76010824637, przedmiot działalności obejmuje m.in. PKD 46.42.Z Sprzedaż hurtową odzieży i obuwia oraz PKD 66.19.Z Pozostałą działalnoś</w:t>
      </w:r>
      <w:r>
        <w:rPr>
          <w:rFonts w:ascii="Times New Roman" w:hAnsi="Times New Roman"/>
        </w:rPr>
        <w:t>ć wspomagającą usługi finansowe.</w:t>
      </w:r>
    </w:p>
    <w:p w14:paraId="1A014222" w14:textId="77777777" w:rsidR="005C50B0" w:rsidRDefault="005C50B0" w:rsidP="005C50B0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DE5249">
        <w:rPr>
          <w:rFonts w:ascii="Times New Roman" w:hAnsi="Times New Roman"/>
        </w:rPr>
        <w:t xml:space="preserve">Potwierdzenie uiszczenia opłaty stosunkowej od apelacji w wysokości 97 168 zł na rachunek </w:t>
      </w:r>
      <w:r>
        <w:rPr>
          <w:rFonts w:ascii="Times New Roman" w:hAnsi="Times New Roman"/>
        </w:rPr>
        <w:t xml:space="preserve">bankowy </w:t>
      </w:r>
      <w:r w:rsidRPr="00DE5249">
        <w:rPr>
          <w:rFonts w:ascii="Times New Roman" w:hAnsi="Times New Roman"/>
        </w:rPr>
        <w:t>Sądu Okręgowego w Warszawie</w:t>
      </w:r>
      <w:r>
        <w:rPr>
          <w:rFonts w:ascii="Times New Roman" w:hAnsi="Times New Roman"/>
        </w:rPr>
        <w:t>.</w:t>
      </w:r>
    </w:p>
    <w:p w14:paraId="3D52BF4F" w14:textId="77777777" w:rsidR="005C50B0" w:rsidRPr="0068201B" w:rsidRDefault="005C50B0" w:rsidP="005C50B0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Odpis apelacji wraz z załącznikami.</w:t>
      </w:r>
    </w:p>
    <w:p w14:paraId="45A36E72" w14:textId="77777777" w:rsidR="005C50B0" w:rsidRPr="00EA0D18" w:rsidRDefault="005C50B0" w:rsidP="005C50B0">
      <w:pPr>
        <w:ind w:left="5670" w:firstLine="702"/>
        <w:jc w:val="left"/>
      </w:pPr>
    </w:p>
    <w:sectPr w:rsidR="005C50B0" w:rsidRPr="00EA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59E379" w16cid:durableId="21A21B3F"/>
  <w16cid:commentId w16cid:paraId="5E20CDA2" w16cid:durableId="21A21B27"/>
  <w16cid:commentId w16cid:paraId="32D04F97" w16cid:durableId="21A21AEA"/>
  <w16cid:commentId w16cid:paraId="35B628D3" w16cid:durableId="21A21B97"/>
  <w16cid:commentId w16cid:paraId="4A80D8E7" w16cid:durableId="21A21D9C"/>
  <w16cid:commentId w16cid:paraId="0811165F" w16cid:durableId="21A21A87"/>
  <w16cid:commentId w16cid:paraId="1DBE236B" w16cid:durableId="219E0AF5"/>
  <w16cid:commentId w16cid:paraId="0DF8B830" w16cid:durableId="219E0BB8"/>
  <w16cid:commentId w16cid:paraId="44907F81" w16cid:durableId="21A21AC7"/>
  <w16cid:commentId w16cid:paraId="44741D4C" w16cid:durableId="21A21E7B"/>
  <w16cid:commentId w16cid:paraId="1C84FBCD" w16cid:durableId="21A21F90"/>
  <w16cid:commentId w16cid:paraId="182C9E8A" w16cid:durableId="21A222A5"/>
  <w16cid:commentId w16cid:paraId="7F1B2C61" w16cid:durableId="21A22170"/>
  <w16cid:commentId w16cid:paraId="46250DD6" w16cid:durableId="21A22559"/>
  <w16cid:commentId w16cid:paraId="034FA8F9" w16cid:durableId="21A226F5"/>
  <w16cid:commentId w16cid:paraId="375C59CB" w16cid:durableId="21A2297D"/>
  <w16cid:commentId w16cid:paraId="20027D75" w16cid:durableId="21A22965"/>
  <w16cid:commentId w16cid:paraId="4A6E1724" w16cid:durableId="21A22AE0"/>
  <w16cid:commentId w16cid:paraId="73B5432F" w16cid:durableId="21A223A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E5F0" w14:textId="77777777" w:rsidR="00EB2564" w:rsidRDefault="00EB2564" w:rsidP="00E54D88">
      <w:r>
        <w:separator/>
      </w:r>
    </w:p>
  </w:endnote>
  <w:endnote w:type="continuationSeparator" w:id="0">
    <w:p w14:paraId="4FD26A86" w14:textId="77777777" w:rsidR="00EB2564" w:rsidRDefault="00EB2564" w:rsidP="00E5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ED54" w14:textId="77777777" w:rsidR="00EB2564" w:rsidRDefault="00EB2564" w:rsidP="00E54D88">
      <w:r>
        <w:separator/>
      </w:r>
    </w:p>
  </w:footnote>
  <w:footnote w:type="continuationSeparator" w:id="0">
    <w:p w14:paraId="4F8D8A7C" w14:textId="77777777" w:rsidR="00EB2564" w:rsidRDefault="00EB2564" w:rsidP="00E5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6622"/>
    <w:multiLevelType w:val="hybridMultilevel"/>
    <w:tmpl w:val="1A8E1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F2E61"/>
    <w:multiLevelType w:val="hybridMultilevel"/>
    <w:tmpl w:val="40A21230"/>
    <w:lvl w:ilvl="0" w:tplc="F7F289B4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788C"/>
    <w:multiLevelType w:val="hybridMultilevel"/>
    <w:tmpl w:val="B07C02C6"/>
    <w:lvl w:ilvl="0" w:tplc="DCA44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03A4"/>
    <w:multiLevelType w:val="hybridMultilevel"/>
    <w:tmpl w:val="FD5AF082"/>
    <w:lvl w:ilvl="0" w:tplc="D1A2E0C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98471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418B"/>
    <w:multiLevelType w:val="hybridMultilevel"/>
    <w:tmpl w:val="545CC86A"/>
    <w:lvl w:ilvl="0" w:tplc="8A22E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52F2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219"/>
    <w:multiLevelType w:val="hybridMultilevel"/>
    <w:tmpl w:val="B6CA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099C"/>
    <w:multiLevelType w:val="hybridMultilevel"/>
    <w:tmpl w:val="B2AC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656FA"/>
    <w:multiLevelType w:val="hybridMultilevel"/>
    <w:tmpl w:val="AD96F0E4"/>
    <w:lvl w:ilvl="0" w:tplc="AAC49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0C30020"/>
    <w:multiLevelType w:val="hybridMultilevel"/>
    <w:tmpl w:val="DC52E6F4"/>
    <w:lvl w:ilvl="0" w:tplc="D1A2E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149E1"/>
    <w:multiLevelType w:val="hybridMultilevel"/>
    <w:tmpl w:val="AD1E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5A44"/>
    <w:multiLevelType w:val="hybridMultilevel"/>
    <w:tmpl w:val="9E20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E4CD7"/>
    <w:multiLevelType w:val="hybridMultilevel"/>
    <w:tmpl w:val="39142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F"/>
    <w:rsid w:val="00001CD0"/>
    <w:rsid w:val="000151FC"/>
    <w:rsid w:val="00034042"/>
    <w:rsid w:val="0006599E"/>
    <w:rsid w:val="000801B6"/>
    <w:rsid w:val="00080949"/>
    <w:rsid w:val="000B009A"/>
    <w:rsid w:val="000C166F"/>
    <w:rsid w:val="000C4505"/>
    <w:rsid w:val="000D47AA"/>
    <w:rsid w:val="000F110D"/>
    <w:rsid w:val="00107009"/>
    <w:rsid w:val="00126272"/>
    <w:rsid w:val="00134E21"/>
    <w:rsid w:val="0017082B"/>
    <w:rsid w:val="001832CA"/>
    <w:rsid w:val="001859C1"/>
    <w:rsid w:val="00191C9E"/>
    <w:rsid w:val="00197891"/>
    <w:rsid w:val="001A2423"/>
    <w:rsid w:val="001E276B"/>
    <w:rsid w:val="001E613A"/>
    <w:rsid w:val="001E626E"/>
    <w:rsid w:val="001F5C74"/>
    <w:rsid w:val="00200800"/>
    <w:rsid w:val="00206F02"/>
    <w:rsid w:val="00210D36"/>
    <w:rsid w:val="00212E91"/>
    <w:rsid w:val="00212F17"/>
    <w:rsid w:val="00236365"/>
    <w:rsid w:val="00247649"/>
    <w:rsid w:val="00266B37"/>
    <w:rsid w:val="002765EE"/>
    <w:rsid w:val="002B7E69"/>
    <w:rsid w:val="00314D13"/>
    <w:rsid w:val="0033220B"/>
    <w:rsid w:val="00334760"/>
    <w:rsid w:val="003427BB"/>
    <w:rsid w:val="00396A22"/>
    <w:rsid w:val="003A19EF"/>
    <w:rsid w:val="003C45A0"/>
    <w:rsid w:val="003E5876"/>
    <w:rsid w:val="003F4397"/>
    <w:rsid w:val="003F5F1E"/>
    <w:rsid w:val="003F7358"/>
    <w:rsid w:val="0040556A"/>
    <w:rsid w:val="00410696"/>
    <w:rsid w:val="00420D56"/>
    <w:rsid w:val="00423EEC"/>
    <w:rsid w:val="00434FE3"/>
    <w:rsid w:val="0043639E"/>
    <w:rsid w:val="00452761"/>
    <w:rsid w:val="00460CAA"/>
    <w:rsid w:val="00464D30"/>
    <w:rsid w:val="00485BD1"/>
    <w:rsid w:val="004864CB"/>
    <w:rsid w:val="004935BC"/>
    <w:rsid w:val="004B1856"/>
    <w:rsid w:val="004B4C0E"/>
    <w:rsid w:val="004B6F54"/>
    <w:rsid w:val="004C2E47"/>
    <w:rsid w:val="004C79A1"/>
    <w:rsid w:val="004F152D"/>
    <w:rsid w:val="0051105F"/>
    <w:rsid w:val="005145EC"/>
    <w:rsid w:val="00524EC3"/>
    <w:rsid w:val="005320C4"/>
    <w:rsid w:val="005340BB"/>
    <w:rsid w:val="005355A8"/>
    <w:rsid w:val="00542764"/>
    <w:rsid w:val="00553335"/>
    <w:rsid w:val="00571BFE"/>
    <w:rsid w:val="005742E8"/>
    <w:rsid w:val="005743D5"/>
    <w:rsid w:val="0058118D"/>
    <w:rsid w:val="00590FC7"/>
    <w:rsid w:val="00597393"/>
    <w:rsid w:val="005C3A63"/>
    <w:rsid w:val="005C50B0"/>
    <w:rsid w:val="005D2CF4"/>
    <w:rsid w:val="005D32F1"/>
    <w:rsid w:val="005F285D"/>
    <w:rsid w:val="00610D1F"/>
    <w:rsid w:val="0062543E"/>
    <w:rsid w:val="00625F03"/>
    <w:rsid w:val="0063550D"/>
    <w:rsid w:val="00635B3D"/>
    <w:rsid w:val="00643CEA"/>
    <w:rsid w:val="00662C64"/>
    <w:rsid w:val="0068797F"/>
    <w:rsid w:val="00697F73"/>
    <w:rsid w:val="006E4AA2"/>
    <w:rsid w:val="006E56DE"/>
    <w:rsid w:val="006F39E8"/>
    <w:rsid w:val="00702058"/>
    <w:rsid w:val="00702F99"/>
    <w:rsid w:val="00707405"/>
    <w:rsid w:val="00712A43"/>
    <w:rsid w:val="00721B3B"/>
    <w:rsid w:val="00727C3F"/>
    <w:rsid w:val="00732DC8"/>
    <w:rsid w:val="00733985"/>
    <w:rsid w:val="007423D7"/>
    <w:rsid w:val="007629E8"/>
    <w:rsid w:val="007707B1"/>
    <w:rsid w:val="00790D98"/>
    <w:rsid w:val="007A5540"/>
    <w:rsid w:val="007C32C7"/>
    <w:rsid w:val="007C5540"/>
    <w:rsid w:val="007E680F"/>
    <w:rsid w:val="00805BCD"/>
    <w:rsid w:val="0082388D"/>
    <w:rsid w:val="0086796E"/>
    <w:rsid w:val="00872969"/>
    <w:rsid w:val="00886F2F"/>
    <w:rsid w:val="008B2ACC"/>
    <w:rsid w:val="008B2D15"/>
    <w:rsid w:val="008C3730"/>
    <w:rsid w:val="008C5E23"/>
    <w:rsid w:val="008F047A"/>
    <w:rsid w:val="0090626C"/>
    <w:rsid w:val="0091389D"/>
    <w:rsid w:val="009212B3"/>
    <w:rsid w:val="00921FE3"/>
    <w:rsid w:val="0093369A"/>
    <w:rsid w:val="009414C6"/>
    <w:rsid w:val="0096068F"/>
    <w:rsid w:val="00991E66"/>
    <w:rsid w:val="009A088C"/>
    <w:rsid w:val="009C5C1F"/>
    <w:rsid w:val="009D78CA"/>
    <w:rsid w:val="009E33B3"/>
    <w:rsid w:val="00A13355"/>
    <w:rsid w:val="00A25A37"/>
    <w:rsid w:val="00A50FB6"/>
    <w:rsid w:val="00A8134B"/>
    <w:rsid w:val="00A95565"/>
    <w:rsid w:val="00AD5F84"/>
    <w:rsid w:val="00B007AE"/>
    <w:rsid w:val="00B15363"/>
    <w:rsid w:val="00B5029A"/>
    <w:rsid w:val="00B54937"/>
    <w:rsid w:val="00B82D72"/>
    <w:rsid w:val="00B91590"/>
    <w:rsid w:val="00BB4098"/>
    <w:rsid w:val="00BB6D8A"/>
    <w:rsid w:val="00BC34A7"/>
    <w:rsid w:val="00BC45D3"/>
    <w:rsid w:val="00BC72A2"/>
    <w:rsid w:val="00BE56BC"/>
    <w:rsid w:val="00C2360D"/>
    <w:rsid w:val="00C800F5"/>
    <w:rsid w:val="00C81996"/>
    <w:rsid w:val="00C84373"/>
    <w:rsid w:val="00C95C5F"/>
    <w:rsid w:val="00C971CA"/>
    <w:rsid w:val="00CA0E79"/>
    <w:rsid w:val="00CA40E8"/>
    <w:rsid w:val="00CB2C09"/>
    <w:rsid w:val="00CB679A"/>
    <w:rsid w:val="00CD1A50"/>
    <w:rsid w:val="00CE5A85"/>
    <w:rsid w:val="00D125DB"/>
    <w:rsid w:val="00D36BC1"/>
    <w:rsid w:val="00D40F4D"/>
    <w:rsid w:val="00D41709"/>
    <w:rsid w:val="00D428FB"/>
    <w:rsid w:val="00D70D67"/>
    <w:rsid w:val="00D835C7"/>
    <w:rsid w:val="00D84027"/>
    <w:rsid w:val="00D85B42"/>
    <w:rsid w:val="00D875F4"/>
    <w:rsid w:val="00D93B90"/>
    <w:rsid w:val="00DC033E"/>
    <w:rsid w:val="00DD2C65"/>
    <w:rsid w:val="00DE409C"/>
    <w:rsid w:val="00DE746D"/>
    <w:rsid w:val="00E23724"/>
    <w:rsid w:val="00E428C6"/>
    <w:rsid w:val="00E51EDC"/>
    <w:rsid w:val="00E54D88"/>
    <w:rsid w:val="00E60E2A"/>
    <w:rsid w:val="00E671D4"/>
    <w:rsid w:val="00E77F0C"/>
    <w:rsid w:val="00E86DC1"/>
    <w:rsid w:val="00EA0D18"/>
    <w:rsid w:val="00EB2564"/>
    <w:rsid w:val="00EB4D32"/>
    <w:rsid w:val="00EB4FE3"/>
    <w:rsid w:val="00EB7BBC"/>
    <w:rsid w:val="00EC01B5"/>
    <w:rsid w:val="00ED3EE5"/>
    <w:rsid w:val="00EE7ADC"/>
    <w:rsid w:val="00EF3649"/>
    <w:rsid w:val="00F01E93"/>
    <w:rsid w:val="00F0688E"/>
    <w:rsid w:val="00F249E4"/>
    <w:rsid w:val="00F26DEF"/>
    <w:rsid w:val="00F27680"/>
    <w:rsid w:val="00F2774C"/>
    <w:rsid w:val="00F40168"/>
    <w:rsid w:val="00F47240"/>
    <w:rsid w:val="00F5269B"/>
    <w:rsid w:val="00F53428"/>
    <w:rsid w:val="00F73F62"/>
    <w:rsid w:val="00F82D08"/>
    <w:rsid w:val="00F86CFA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7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01CD0"/>
  </w:style>
  <w:style w:type="paragraph" w:styleId="Nagwek1">
    <w:name w:val="heading 1"/>
    <w:basedOn w:val="Normalny"/>
    <w:next w:val="Normalny"/>
    <w:link w:val="Nagwek1Znak"/>
    <w:qFormat/>
    <w:rsid w:val="00001C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01CD0"/>
    <w:pPr>
      <w:keepNext/>
      <w:jc w:val="center"/>
      <w:outlineLvl w:val="2"/>
    </w:pPr>
    <w:rPr>
      <w:rFonts w:eastAsia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D0"/>
    <w:rPr>
      <w:rFonts w:eastAsia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001CD0"/>
  </w:style>
  <w:style w:type="character" w:customStyle="1" w:styleId="Nagwek1Znak">
    <w:name w:val="Nagłówek 1 Znak"/>
    <w:basedOn w:val="Domylnaczcionkaakapitu"/>
    <w:link w:val="Nagwek1"/>
    <w:rsid w:val="00001CD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01CD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01CD0"/>
    <w:rPr>
      <w:rFonts w:eastAsia="Times New Roman"/>
    </w:rPr>
  </w:style>
  <w:style w:type="character" w:customStyle="1" w:styleId="TekstkomentarzaZnak">
    <w:name w:val="Tekst komentarza Znak"/>
    <w:link w:val="Tekstkomentarza"/>
    <w:semiHidden/>
    <w:rsid w:val="00001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01CD0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001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01CD0"/>
    <w:pPr>
      <w:tabs>
        <w:tab w:val="center" w:pos="4153"/>
        <w:tab w:val="right" w:pos="8306"/>
      </w:tabs>
    </w:pPr>
    <w:rPr>
      <w:rFonts w:eastAsia="Times New Roman"/>
      <w:sz w:val="24"/>
      <w:lang w:val="en-US"/>
    </w:rPr>
  </w:style>
  <w:style w:type="character" w:customStyle="1" w:styleId="StopkaZnak">
    <w:name w:val="Stopka Znak"/>
    <w:link w:val="Stopka"/>
    <w:rsid w:val="00001CD0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semiHidden/>
    <w:rsid w:val="00001CD0"/>
    <w:rPr>
      <w:sz w:val="16"/>
    </w:rPr>
  </w:style>
  <w:style w:type="character" w:styleId="Odwoanieprzypisukocowego">
    <w:name w:val="endnote reference"/>
    <w:uiPriority w:val="99"/>
    <w:semiHidden/>
    <w:unhideWhenUsed/>
    <w:rsid w:val="00001C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CD0"/>
    <w:rPr>
      <w:rFonts w:eastAsia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01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01CD0"/>
    <w:pPr>
      <w:jc w:val="center"/>
    </w:pPr>
    <w:rPr>
      <w:rFonts w:ascii="Arial" w:eastAsia="Times New Roman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01C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Zwrotpoegnalny">
    <w:name w:val="Closing"/>
    <w:basedOn w:val="Normalny"/>
    <w:next w:val="Normalny"/>
    <w:link w:val="ZwrotpoegnalnyZnak"/>
    <w:semiHidden/>
    <w:unhideWhenUsed/>
    <w:rsid w:val="00001CD0"/>
    <w:pPr>
      <w:keepNext/>
      <w:spacing w:after="120"/>
      <w:ind w:left="0" w:firstLine="0"/>
      <w:jc w:val="left"/>
    </w:pPr>
    <w:rPr>
      <w:rFonts w:ascii="Arial" w:eastAsia="Times New Roman" w:hAnsi="Arial"/>
      <w:lang w:val="en-GB"/>
    </w:rPr>
  </w:style>
  <w:style w:type="character" w:customStyle="1" w:styleId="ZwrotpoegnalnyZnak">
    <w:name w:val="Zwrot pożegnalny Znak"/>
    <w:basedOn w:val="Domylnaczcionkaakapitu"/>
    <w:link w:val="Zwrotpoegnalny"/>
    <w:semiHidden/>
    <w:rsid w:val="00001CD0"/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001CD0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001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1CD0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1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1CD0"/>
    <w:rPr>
      <w:rFonts w:ascii="Arial" w:eastAsia="Times New Roman" w:hAnsi="Arial"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01CD0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01CD0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001C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D0"/>
    <w:rPr>
      <w:color w:val="0000FF"/>
      <w:u w:val="single"/>
    </w:rPr>
  </w:style>
  <w:style w:type="character" w:styleId="Pogrubienie">
    <w:name w:val="Strong"/>
    <w:uiPriority w:val="22"/>
    <w:qFormat/>
    <w:rsid w:val="00001CD0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01CD0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01CD0"/>
    <w:rPr>
      <w:rFonts w:ascii="Tahoma" w:eastAsia="Times New Roman" w:hAnsi="Tahoma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01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1C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01CD0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1CD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01CD0"/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001CD0"/>
    <w:rPr>
      <w:color w:val="808080"/>
    </w:rPr>
  </w:style>
  <w:style w:type="paragraph" w:styleId="Akapitzlist">
    <w:name w:val="List Paragraph"/>
    <w:basedOn w:val="Normalny"/>
    <w:uiPriority w:val="34"/>
    <w:qFormat/>
    <w:rsid w:val="00001CD0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D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D15"/>
  </w:style>
  <w:style w:type="character" w:styleId="Odwoanieprzypisudolnego">
    <w:name w:val="footnote reference"/>
    <w:basedOn w:val="Domylnaczcionkaakapitu"/>
    <w:uiPriority w:val="99"/>
    <w:semiHidden/>
    <w:unhideWhenUsed/>
    <w:rsid w:val="008B2D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C79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79A1"/>
    <w:pPr>
      <w:spacing w:after="0"/>
      <w:ind w:left="360" w:firstLine="360"/>
    </w:pPr>
    <w:rPr>
      <w:rFonts w:eastAsiaTheme="minorHAns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9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473D-E593-6042-AE97-161AF4BD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6777</Words>
  <Characters>40663</Characters>
  <Application>Microsoft Macintosh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Warsewicz</dc:creator>
  <cp:lastModifiedBy>Agnieszka Warsewicz</cp:lastModifiedBy>
  <cp:revision>7</cp:revision>
  <dcterms:created xsi:type="dcterms:W3CDTF">2019-12-27T16:02:00Z</dcterms:created>
  <dcterms:modified xsi:type="dcterms:W3CDTF">2019-12-27T16:31:00Z</dcterms:modified>
</cp:coreProperties>
</file>